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49"/>
      </w:tblGrid>
      <w:tr w:rsidR="00AE4E6A" w:rsidRPr="00AE4E6A" w:rsidTr="00AE4E6A">
        <w:tc>
          <w:tcPr>
            <w:tcW w:w="121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30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noProof/>
                <w:sz w:val="24"/>
                <w:szCs w:val="24"/>
                <w:lang w:eastAsia="uk-UA"/>
              </w:rPr>
              <w:drawing>
                <wp:inline distT="0" distB="0" distL="0" distR="0">
                  <wp:extent cx="5715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AE4E6A" w:rsidRPr="00AE4E6A" w:rsidTr="00AE4E6A">
        <w:tc>
          <w:tcPr>
            <w:tcW w:w="121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b/>
                <w:bCs/>
                <w:sz w:val="28"/>
                <w:szCs w:val="28"/>
                <w:lang w:eastAsia="uk-UA"/>
              </w:rPr>
              <w:t>НАЦІОНАЛЬНА КОМІСІЯ, ЩО ЗДІЙСНЮЄ ДЕРЖАВНЕ РЕГУЛЮВАННЯ У СФЕРАХ ЕНЕРГЕТИКИ ТА КОМУНАЛЬНИХ ПОСЛУГ</w:t>
            </w:r>
          </w:p>
        </w:tc>
      </w:tr>
      <w:tr w:rsidR="00AE4E6A" w:rsidRPr="00AE4E6A" w:rsidTr="00AE4E6A">
        <w:tc>
          <w:tcPr>
            <w:tcW w:w="121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30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b/>
                <w:bCs/>
                <w:sz w:val="32"/>
                <w:szCs w:val="32"/>
                <w:lang w:eastAsia="uk-UA"/>
              </w:rPr>
              <w:t>ПОСТАНОВА</w:t>
            </w:r>
          </w:p>
        </w:tc>
      </w:tr>
      <w:tr w:rsidR="00AE4E6A" w:rsidRPr="00AE4E6A" w:rsidTr="00AE4E6A">
        <w:tc>
          <w:tcPr>
            <w:tcW w:w="121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ind w:left="450" w:right="450"/>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b/>
                <w:bCs/>
                <w:sz w:val="24"/>
                <w:szCs w:val="24"/>
                <w:lang w:eastAsia="uk-UA"/>
              </w:rPr>
              <w:t>18.12.2018  № 1965</w:t>
            </w:r>
          </w:p>
        </w:tc>
      </w:tr>
    </w:tbl>
    <w:p w:rsidR="00AE4E6A" w:rsidRPr="00AE4E6A" w:rsidRDefault="00AE4E6A" w:rsidP="00AE4E6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AE4E6A">
        <w:rPr>
          <w:rFonts w:ascii="Times New Roman" w:eastAsia="Times New Roman" w:hAnsi="Times New Roman" w:cs="Times New Roman"/>
          <w:b/>
          <w:bCs/>
          <w:color w:val="333333"/>
          <w:sz w:val="32"/>
          <w:szCs w:val="32"/>
          <w:lang w:eastAsia="uk-UA"/>
        </w:rPr>
        <w:t>Про затвердження Методики (порядку) формування плати за приєднання до системи передачі та системи розподілу</w:t>
      </w:r>
    </w:p>
    <w:p w:rsidR="00AE4E6A" w:rsidRPr="00AE4E6A" w:rsidRDefault="00AE4E6A" w:rsidP="00AE4E6A">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1" w:name="n187"/>
      <w:bookmarkEnd w:id="1"/>
      <w:r w:rsidRPr="00AE4E6A">
        <w:rPr>
          <w:rFonts w:ascii="Times New Roman" w:eastAsia="Times New Roman" w:hAnsi="Times New Roman" w:cs="Times New Roman"/>
          <w:color w:val="333333"/>
          <w:sz w:val="24"/>
          <w:szCs w:val="24"/>
          <w:shd w:val="clear" w:color="auto" w:fill="FFFFFF"/>
          <w:lang w:eastAsia="uk-UA"/>
        </w:rPr>
        <w:t>{Із змінами, внесеними згідно з Постановами Національної комісії, що здійснює</w:t>
      </w:r>
      <w:r w:rsidRPr="00AE4E6A">
        <w:rPr>
          <w:rFonts w:ascii="Times New Roman" w:eastAsia="Times New Roman" w:hAnsi="Times New Roman" w:cs="Times New Roman"/>
          <w:color w:val="333333"/>
          <w:sz w:val="24"/>
          <w:szCs w:val="24"/>
          <w:shd w:val="clear" w:color="auto" w:fill="FFFFFF"/>
          <w:lang w:eastAsia="uk-UA"/>
        </w:rPr>
        <w:br/>
        <w:t>державне регулювання у сферах енергетики та комунальних послуг</w:t>
      </w:r>
      <w:r w:rsidRPr="00AE4E6A">
        <w:rPr>
          <w:rFonts w:ascii="Times New Roman" w:eastAsia="Times New Roman" w:hAnsi="Times New Roman" w:cs="Times New Roman"/>
          <w:color w:val="333333"/>
          <w:sz w:val="24"/>
          <w:szCs w:val="24"/>
          <w:shd w:val="clear" w:color="auto" w:fill="FFFFFF"/>
          <w:lang w:eastAsia="uk-UA"/>
        </w:rPr>
        <w:br/>
      </w:r>
      <w:hyperlink r:id="rId5" w:anchor="n2" w:tgtFrame="_blank" w:history="1">
        <w:r w:rsidRPr="00AE4E6A">
          <w:rPr>
            <w:rFonts w:ascii="Times New Roman" w:eastAsia="Times New Roman" w:hAnsi="Times New Roman" w:cs="Times New Roman"/>
            <w:color w:val="0000FF"/>
            <w:sz w:val="24"/>
            <w:szCs w:val="24"/>
            <w:u w:val="single"/>
            <w:lang w:eastAsia="uk-UA"/>
          </w:rPr>
          <w:t>№ 2161 від 25.11.2020</w:t>
        </w:r>
      </w:hyperlink>
      <w:r w:rsidRPr="00AE4E6A">
        <w:rPr>
          <w:rFonts w:ascii="Times New Roman" w:eastAsia="Times New Roman" w:hAnsi="Times New Roman" w:cs="Times New Roman"/>
          <w:color w:val="333333"/>
          <w:sz w:val="24"/>
          <w:szCs w:val="24"/>
          <w:shd w:val="clear" w:color="auto" w:fill="FFFFFF"/>
          <w:lang w:eastAsia="uk-UA"/>
        </w:rPr>
        <w:br/>
      </w:r>
      <w:hyperlink r:id="rId6" w:anchor="n2" w:tgtFrame="_blank" w:history="1">
        <w:r w:rsidRPr="00AE4E6A">
          <w:rPr>
            <w:rFonts w:ascii="Times New Roman" w:eastAsia="Times New Roman" w:hAnsi="Times New Roman" w:cs="Times New Roman"/>
            <w:color w:val="0000FF"/>
            <w:sz w:val="24"/>
            <w:szCs w:val="24"/>
            <w:u w:val="single"/>
            <w:lang w:eastAsia="uk-UA"/>
          </w:rPr>
          <w:t>№ 1700 від 06.10.2021</w:t>
        </w:r>
      </w:hyperlink>
      <w:r w:rsidRPr="00AE4E6A">
        <w:rPr>
          <w:rFonts w:ascii="Times New Roman" w:eastAsia="Times New Roman" w:hAnsi="Times New Roman" w:cs="Times New Roman"/>
          <w:color w:val="333333"/>
          <w:sz w:val="24"/>
          <w:szCs w:val="24"/>
          <w:shd w:val="clear" w:color="auto" w:fill="FFFFFF"/>
          <w:lang w:eastAsia="uk-UA"/>
        </w:rPr>
        <w:br/>
      </w:r>
      <w:hyperlink r:id="rId7" w:anchor="n2" w:tgtFrame="_blank" w:history="1">
        <w:r w:rsidRPr="00AE4E6A">
          <w:rPr>
            <w:rFonts w:ascii="Times New Roman" w:eastAsia="Times New Roman" w:hAnsi="Times New Roman" w:cs="Times New Roman"/>
            <w:color w:val="0000FF"/>
            <w:sz w:val="24"/>
            <w:szCs w:val="24"/>
            <w:u w:val="single"/>
            <w:lang w:eastAsia="uk-UA"/>
          </w:rPr>
          <w:t>№ 352 від 26.03.2022</w:t>
        </w:r>
      </w:hyperlink>
      <w:r w:rsidRPr="00AE4E6A">
        <w:rPr>
          <w:rFonts w:ascii="Times New Roman" w:eastAsia="Times New Roman" w:hAnsi="Times New Roman" w:cs="Times New Roman"/>
          <w:color w:val="333333"/>
          <w:sz w:val="24"/>
          <w:szCs w:val="24"/>
          <w:shd w:val="clear" w:color="auto" w:fill="FFFFFF"/>
          <w:lang w:eastAsia="uk-UA"/>
        </w:rPr>
        <w:t> - враховуючи зміни, внесені Постановами</w:t>
      </w:r>
      <w:r w:rsidRPr="00AE4E6A">
        <w:rPr>
          <w:rFonts w:ascii="Times New Roman" w:eastAsia="Times New Roman" w:hAnsi="Times New Roman" w:cs="Times New Roman"/>
          <w:color w:val="333333"/>
          <w:sz w:val="24"/>
          <w:szCs w:val="24"/>
          <w:shd w:val="clear" w:color="auto" w:fill="FFFFFF"/>
          <w:lang w:eastAsia="uk-UA"/>
        </w:rPr>
        <w:br/>
        <w:t>Національної комісії, що здійснює державне регулювання</w:t>
      </w:r>
      <w:r w:rsidRPr="00AE4E6A">
        <w:rPr>
          <w:rFonts w:ascii="Times New Roman" w:eastAsia="Times New Roman" w:hAnsi="Times New Roman" w:cs="Times New Roman"/>
          <w:color w:val="333333"/>
          <w:sz w:val="24"/>
          <w:szCs w:val="24"/>
          <w:shd w:val="clear" w:color="auto" w:fill="FFFFFF"/>
          <w:lang w:eastAsia="uk-UA"/>
        </w:rPr>
        <w:br/>
        <w:t>у сферах енергетики та комунальних послуг</w:t>
      </w:r>
      <w:r w:rsidRPr="00AE4E6A">
        <w:rPr>
          <w:rFonts w:ascii="Times New Roman" w:eastAsia="Times New Roman" w:hAnsi="Times New Roman" w:cs="Times New Roman"/>
          <w:color w:val="333333"/>
          <w:sz w:val="24"/>
          <w:szCs w:val="24"/>
          <w:shd w:val="clear" w:color="auto" w:fill="FFFFFF"/>
          <w:lang w:eastAsia="uk-UA"/>
        </w:rPr>
        <w:br/>
      </w:r>
      <w:hyperlink r:id="rId8" w:anchor="n6" w:tgtFrame="_blank" w:history="1">
        <w:r w:rsidRPr="00AE4E6A">
          <w:rPr>
            <w:rFonts w:ascii="Times New Roman" w:eastAsia="Times New Roman" w:hAnsi="Times New Roman" w:cs="Times New Roman"/>
            <w:color w:val="0000FF"/>
            <w:sz w:val="24"/>
            <w:szCs w:val="24"/>
            <w:u w:val="single"/>
            <w:lang w:eastAsia="uk-UA"/>
          </w:rPr>
          <w:t>№ 407 від 26.04.2022</w:t>
        </w:r>
      </w:hyperlink>
      <w:r w:rsidRPr="00AE4E6A">
        <w:rPr>
          <w:rFonts w:ascii="Times New Roman" w:eastAsia="Times New Roman" w:hAnsi="Times New Roman" w:cs="Times New Roman"/>
          <w:color w:val="333333"/>
          <w:sz w:val="24"/>
          <w:szCs w:val="24"/>
          <w:shd w:val="clear" w:color="auto" w:fill="FFFFFF"/>
          <w:lang w:eastAsia="uk-UA"/>
        </w:rPr>
        <w:t>, </w:t>
      </w:r>
      <w:hyperlink r:id="rId9" w:anchor="n6" w:tgtFrame="_blank" w:history="1">
        <w:r w:rsidRPr="00AE4E6A">
          <w:rPr>
            <w:rFonts w:ascii="Times New Roman" w:eastAsia="Times New Roman" w:hAnsi="Times New Roman" w:cs="Times New Roman"/>
            <w:color w:val="0000FF"/>
            <w:sz w:val="24"/>
            <w:szCs w:val="24"/>
            <w:u w:val="single"/>
            <w:lang w:eastAsia="uk-UA"/>
          </w:rPr>
          <w:t>№ 1138 від 13.09.2022</w:t>
        </w:r>
      </w:hyperlink>
      <w:r w:rsidRPr="00AE4E6A">
        <w:rPr>
          <w:rFonts w:ascii="Times New Roman" w:eastAsia="Times New Roman" w:hAnsi="Times New Roman" w:cs="Times New Roman"/>
          <w:color w:val="333333"/>
          <w:sz w:val="24"/>
          <w:szCs w:val="24"/>
          <w:shd w:val="clear" w:color="auto" w:fill="FFFFFF"/>
          <w:lang w:eastAsia="uk-UA"/>
        </w:rPr>
        <w:t>}</w:t>
      </w:r>
    </w:p>
    <w:p w:rsidR="00AE4E6A" w:rsidRPr="00AE4E6A" w:rsidRDefault="00AE4E6A" w:rsidP="00AE4E6A">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2" w:name="n404"/>
      <w:bookmarkEnd w:id="2"/>
      <w:r w:rsidRPr="00AE4E6A">
        <w:rPr>
          <w:rFonts w:ascii="Times New Roman" w:eastAsia="Times New Roman" w:hAnsi="Times New Roman" w:cs="Times New Roman"/>
          <w:color w:val="333333"/>
          <w:sz w:val="24"/>
          <w:szCs w:val="24"/>
          <w:shd w:val="clear" w:color="auto" w:fill="FFFFFF"/>
          <w:lang w:eastAsia="uk-UA"/>
        </w:rPr>
        <w:t>{Із змінами, внесеними згідно з Постановою Національної комісії, що здійснює</w:t>
      </w:r>
      <w:r w:rsidRPr="00AE4E6A">
        <w:rPr>
          <w:rFonts w:ascii="Times New Roman" w:eastAsia="Times New Roman" w:hAnsi="Times New Roman" w:cs="Times New Roman"/>
          <w:color w:val="333333"/>
          <w:sz w:val="24"/>
          <w:szCs w:val="24"/>
          <w:shd w:val="clear" w:color="auto" w:fill="FFFFFF"/>
          <w:lang w:eastAsia="uk-UA"/>
        </w:rPr>
        <w:br/>
        <w:t>державне регулювання у сферах енергетики та комунальних послуг</w:t>
      </w:r>
      <w:r w:rsidRPr="00AE4E6A">
        <w:rPr>
          <w:rFonts w:ascii="Times New Roman" w:eastAsia="Times New Roman" w:hAnsi="Times New Roman" w:cs="Times New Roman"/>
          <w:color w:val="333333"/>
          <w:sz w:val="24"/>
          <w:szCs w:val="24"/>
          <w:shd w:val="clear" w:color="auto" w:fill="FFFFFF"/>
          <w:lang w:eastAsia="uk-UA"/>
        </w:rPr>
        <w:br/>
      </w:r>
      <w:hyperlink r:id="rId10" w:anchor="n2" w:tgtFrame="_blank" w:history="1">
        <w:r w:rsidRPr="00AE4E6A">
          <w:rPr>
            <w:rFonts w:ascii="Times New Roman" w:eastAsia="Times New Roman" w:hAnsi="Times New Roman" w:cs="Times New Roman"/>
            <w:color w:val="0000FF"/>
            <w:sz w:val="24"/>
            <w:szCs w:val="24"/>
            <w:u w:val="single"/>
            <w:lang w:eastAsia="uk-UA"/>
          </w:rPr>
          <w:t>№ 1407 від 10.11.2022</w:t>
        </w:r>
      </w:hyperlink>
      <w:r w:rsidRPr="00AE4E6A">
        <w:rPr>
          <w:rFonts w:ascii="Times New Roman" w:eastAsia="Times New Roman" w:hAnsi="Times New Roman" w:cs="Times New Roman"/>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4"/>
      <w:bookmarkEnd w:id="3"/>
      <w:r w:rsidRPr="00AE4E6A">
        <w:rPr>
          <w:rFonts w:ascii="Times New Roman" w:eastAsia="Times New Roman" w:hAnsi="Times New Roman" w:cs="Times New Roman"/>
          <w:color w:val="333333"/>
          <w:sz w:val="24"/>
          <w:szCs w:val="24"/>
          <w:lang w:eastAsia="uk-UA"/>
        </w:rPr>
        <w:t>Відповідно до законів України </w:t>
      </w:r>
      <w:hyperlink r:id="rId11" w:tgtFrame="_blank" w:history="1">
        <w:r w:rsidRPr="00AE4E6A">
          <w:rPr>
            <w:rFonts w:ascii="Times New Roman" w:eastAsia="Times New Roman" w:hAnsi="Times New Roman" w:cs="Times New Roman"/>
            <w:color w:val="0000FF"/>
            <w:sz w:val="24"/>
            <w:szCs w:val="24"/>
            <w:u w:val="single"/>
            <w:lang w:eastAsia="uk-UA"/>
          </w:rPr>
          <w:t>"Про ринок електричної енергії"</w:t>
        </w:r>
      </w:hyperlink>
      <w:r w:rsidRPr="00AE4E6A">
        <w:rPr>
          <w:rFonts w:ascii="Times New Roman" w:eastAsia="Times New Roman" w:hAnsi="Times New Roman" w:cs="Times New Roman"/>
          <w:color w:val="333333"/>
          <w:sz w:val="24"/>
          <w:szCs w:val="24"/>
          <w:lang w:eastAsia="uk-UA"/>
        </w:rPr>
        <w:t> та </w:t>
      </w:r>
      <w:hyperlink r:id="rId12" w:tgtFrame="_blank" w:history="1">
        <w:r w:rsidRPr="00AE4E6A">
          <w:rPr>
            <w:rFonts w:ascii="Times New Roman" w:eastAsia="Times New Roman" w:hAnsi="Times New Roman" w:cs="Times New Roman"/>
            <w:color w:val="0000FF"/>
            <w:sz w:val="24"/>
            <w:szCs w:val="24"/>
            <w:u w:val="single"/>
            <w:lang w:eastAsia="uk-UA"/>
          </w:rPr>
          <w:t>"Про Національну комісію, що здійснює державне регулювання у сферах енергетики та комунальних послуг"</w:t>
        </w:r>
      </w:hyperlink>
      <w:r w:rsidRPr="00AE4E6A">
        <w:rPr>
          <w:rFonts w:ascii="Times New Roman" w:eastAsia="Times New Roman" w:hAnsi="Times New Roman" w:cs="Times New Roman"/>
          <w:color w:val="333333"/>
          <w:sz w:val="24"/>
          <w:szCs w:val="24"/>
          <w:lang w:eastAsia="uk-UA"/>
        </w:rPr>
        <w:t> Національна комісія, що здійснює державне регулювання у сферах енергетики та комунальних послуг, </w:t>
      </w:r>
      <w:r w:rsidRPr="00AE4E6A">
        <w:rPr>
          <w:rFonts w:ascii="Times New Roman" w:eastAsia="Times New Roman" w:hAnsi="Times New Roman" w:cs="Times New Roman"/>
          <w:b/>
          <w:bCs/>
          <w:color w:val="333333"/>
          <w:spacing w:val="30"/>
          <w:sz w:val="24"/>
          <w:szCs w:val="24"/>
          <w:lang w:eastAsia="uk-UA"/>
        </w:rPr>
        <w:t>ПОСТАНОВЛЯЄ:</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5"/>
      <w:bookmarkEnd w:id="4"/>
      <w:r w:rsidRPr="00AE4E6A">
        <w:rPr>
          <w:rFonts w:ascii="Times New Roman" w:eastAsia="Times New Roman" w:hAnsi="Times New Roman" w:cs="Times New Roman"/>
          <w:color w:val="333333"/>
          <w:sz w:val="24"/>
          <w:szCs w:val="24"/>
          <w:lang w:eastAsia="uk-UA"/>
        </w:rPr>
        <w:t>1. Затвердити </w:t>
      </w:r>
      <w:hyperlink r:id="rId13" w:anchor="n189" w:history="1">
        <w:r w:rsidRPr="00AE4E6A">
          <w:rPr>
            <w:rFonts w:ascii="Times New Roman" w:eastAsia="Times New Roman" w:hAnsi="Times New Roman" w:cs="Times New Roman"/>
            <w:color w:val="0000FF"/>
            <w:sz w:val="24"/>
            <w:szCs w:val="24"/>
            <w:u w:val="single"/>
            <w:lang w:eastAsia="uk-UA"/>
          </w:rPr>
          <w:t>Методику (порядок) формування плати за приєднання до системи передачі та системи розподілу</w:t>
        </w:r>
      </w:hyperlink>
      <w:r w:rsidRPr="00AE4E6A">
        <w:rPr>
          <w:rFonts w:ascii="Times New Roman" w:eastAsia="Times New Roman" w:hAnsi="Times New Roman" w:cs="Times New Roman"/>
          <w:color w:val="333333"/>
          <w:sz w:val="24"/>
          <w:szCs w:val="24"/>
          <w:lang w:eastAsia="uk-UA"/>
        </w:rPr>
        <w:t>, що додається.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6"/>
      <w:bookmarkEnd w:id="5"/>
      <w:r w:rsidRPr="00AE4E6A">
        <w:rPr>
          <w:rFonts w:ascii="Times New Roman" w:eastAsia="Times New Roman" w:hAnsi="Times New Roman" w:cs="Times New Roman"/>
          <w:color w:val="333333"/>
          <w:sz w:val="24"/>
          <w:szCs w:val="24"/>
          <w:lang w:eastAsia="uk-UA"/>
        </w:rPr>
        <w:t>2. Визнати такою, що втратила чинність, </w:t>
      </w:r>
      <w:hyperlink r:id="rId14" w:tgtFrame="_blank" w:history="1">
        <w:r w:rsidRPr="00AE4E6A">
          <w:rPr>
            <w:rFonts w:ascii="Times New Roman" w:eastAsia="Times New Roman" w:hAnsi="Times New Roman" w:cs="Times New Roman"/>
            <w:color w:val="0000FF"/>
            <w:sz w:val="24"/>
            <w:szCs w:val="24"/>
            <w:u w:val="single"/>
            <w:lang w:eastAsia="uk-UA"/>
          </w:rPr>
          <w:t>постанову Національної комісії, що здійснює державне регулювання у сфері енергетики, від 12 лютого 2013 року № 115</w:t>
        </w:r>
      </w:hyperlink>
      <w:r w:rsidRPr="00AE4E6A">
        <w:rPr>
          <w:rFonts w:ascii="Times New Roman" w:eastAsia="Times New Roman" w:hAnsi="Times New Roman" w:cs="Times New Roman"/>
          <w:color w:val="333333"/>
          <w:sz w:val="24"/>
          <w:szCs w:val="24"/>
          <w:lang w:eastAsia="uk-UA"/>
        </w:rPr>
        <w:t> "Про затвердження Методики розрахунку плати за приєднання електроустановок до електричних мереж" (із змінами).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7"/>
      <w:bookmarkEnd w:id="6"/>
      <w:r w:rsidRPr="00AE4E6A">
        <w:rPr>
          <w:rFonts w:ascii="Times New Roman" w:eastAsia="Times New Roman" w:hAnsi="Times New Roman" w:cs="Times New Roman"/>
          <w:color w:val="333333"/>
          <w:sz w:val="24"/>
          <w:szCs w:val="24"/>
          <w:lang w:eastAsia="uk-UA"/>
        </w:rPr>
        <w:t xml:space="preserve">3. Встановити на період до 31 грудня 2024 року для всіх операторів систем розподілу питому вартість приєднання 1 кВт потужності, визначену згідно з СОУ-Н МЕВ 45.2-37472933-44:2016 "Укрупнені показники вартості будівництва підстанцій напругою від 6 кВ до 150 кВ та ліній </w:t>
      </w:r>
      <w:proofErr w:type="spellStart"/>
      <w:r w:rsidRPr="00AE4E6A">
        <w:rPr>
          <w:rFonts w:ascii="Times New Roman" w:eastAsia="Times New Roman" w:hAnsi="Times New Roman" w:cs="Times New Roman"/>
          <w:color w:val="333333"/>
          <w:sz w:val="24"/>
          <w:szCs w:val="24"/>
          <w:lang w:eastAsia="uk-UA"/>
        </w:rPr>
        <w:t>електропередавання</w:t>
      </w:r>
      <w:proofErr w:type="spellEnd"/>
      <w:r w:rsidRPr="00AE4E6A">
        <w:rPr>
          <w:rFonts w:ascii="Times New Roman" w:eastAsia="Times New Roman" w:hAnsi="Times New Roman" w:cs="Times New Roman"/>
          <w:color w:val="333333"/>
          <w:sz w:val="24"/>
          <w:szCs w:val="24"/>
          <w:lang w:eastAsia="uk-UA"/>
        </w:rPr>
        <w:t xml:space="preserve"> напругою від 0,38 кВ до 150 кВ. Норми", затвердженими наказом Міністерства енергетики та вугільної промисловості України від </w:t>
      </w:r>
      <w:r w:rsidRPr="00AE4E6A">
        <w:rPr>
          <w:rFonts w:ascii="Times New Roman" w:eastAsia="Times New Roman" w:hAnsi="Times New Roman" w:cs="Times New Roman"/>
          <w:color w:val="333333"/>
          <w:sz w:val="24"/>
          <w:szCs w:val="24"/>
          <w:lang w:eastAsia="uk-UA"/>
        </w:rPr>
        <w:lastRenderedPageBreak/>
        <w:t>04 травня 2011 року </w:t>
      </w:r>
      <w:hyperlink r:id="rId15" w:tgtFrame="_blank" w:history="1">
        <w:r w:rsidRPr="00AE4E6A">
          <w:rPr>
            <w:rFonts w:ascii="Times New Roman" w:eastAsia="Times New Roman" w:hAnsi="Times New Roman" w:cs="Times New Roman"/>
            <w:color w:val="0000FF"/>
            <w:sz w:val="24"/>
            <w:szCs w:val="24"/>
            <w:u w:val="single"/>
            <w:lang w:eastAsia="uk-UA"/>
          </w:rPr>
          <w:t>№ 101</w:t>
        </w:r>
      </w:hyperlink>
      <w:r w:rsidRPr="00AE4E6A">
        <w:rPr>
          <w:rFonts w:ascii="Times New Roman" w:eastAsia="Times New Roman" w:hAnsi="Times New Roman" w:cs="Times New Roman"/>
          <w:color w:val="333333"/>
          <w:sz w:val="24"/>
          <w:szCs w:val="24"/>
          <w:lang w:eastAsia="uk-UA"/>
        </w:rPr>
        <w:t>, як усереднений показник вартості створення 1 кВт потужності на рівні 3,48 тис. грн/кВт (без податку на додану вартість).</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 w:name="n188"/>
      <w:bookmarkEnd w:id="7"/>
      <w:r w:rsidRPr="00AE4E6A">
        <w:rPr>
          <w:rFonts w:ascii="Times New Roman" w:eastAsia="Times New Roman" w:hAnsi="Times New Roman" w:cs="Times New Roman"/>
          <w:i/>
          <w:iCs/>
          <w:color w:val="333333"/>
          <w:sz w:val="24"/>
          <w:szCs w:val="24"/>
          <w:shd w:val="clear" w:color="auto" w:fill="FFFFFF"/>
          <w:lang w:eastAsia="uk-UA"/>
        </w:rPr>
        <w:t>{Пункт 3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6" w:anchor="n6" w:tgtFrame="_blank" w:history="1">
        <w:r w:rsidRPr="00AE4E6A">
          <w:rPr>
            <w:rFonts w:ascii="Times New Roman" w:eastAsia="Times New Roman" w:hAnsi="Times New Roman" w:cs="Times New Roman"/>
            <w:i/>
            <w:iCs/>
            <w:color w:val="0000FF"/>
            <w:sz w:val="24"/>
            <w:szCs w:val="24"/>
            <w:u w:val="single"/>
            <w:lang w:eastAsia="uk-UA"/>
          </w:rPr>
          <w:t>№ 2161 від 25.11.2020</w:t>
        </w:r>
      </w:hyperlink>
      <w:r w:rsidRPr="00AE4E6A">
        <w:rPr>
          <w:rFonts w:ascii="Times New Roman" w:eastAsia="Times New Roman" w:hAnsi="Times New Roman" w:cs="Times New Roman"/>
          <w:i/>
          <w:iCs/>
          <w:color w:val="333333"/>
          <w:sz w:val="24"/>
          <w:szCs w:val="24"/>
          <w:shd w:val="clear" w:color="auto" w:fill="FFFFFF"/>
          <w:lang w:eastAsia="uk-UA"/>
        </w:rPr>
        <w:t>, </w:t>
      </w:r>
      <w:hyperlink r:id="rId17" w:anchor="n6" w:tgtFrame="_blank" w:history="1">
        <w:r w:rsidRPr="00AE4E6A">
          <w:rPr>
            <w:rFonts w:ascii="Times New Roman" w:eastAsia="Times New Roman" w:hAnsi="Times New Roman" w:cs="Times New Roman"/>
            <w:i/>
            <w:iCs/>
            <w:color w:val="0000FF"/>
            <w:sz w:val="24"/>
            <w:szCs w:val="24"/>
            <w:u w:val="single"/>
            <w:lang w:eastAsia="uk-UA"/>
          </w:rPr>
          <w:t>№ 1407 від 10.11.2022</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8"/>
      <w:bookmarkEnd w:id="8"/>
      <w:r w:rsidRPr="00AE4E6A">
        <w:rPr>
          <w:rFonts w:ascii="Times New Roman" w:eastAsia="Times New Roman" w:hAnsi="Times New Roman" w:cs="Times New Roman"/>
          <w:color w:val="333333"/>
          <w:sz w:val="24"/>
          <w:szCs w:val="24"/>
          <w:lang w:eastAsia="uk-UA"/>
        </w:rPr>
        <w:t>4. Ця постанова набирає чинності з дня, наступного за днем її опублікування в офіційному друкованому виданні - газеті "Урядовий кур'єр", крім абзаців четвертого-шістнадцятого пункту 5.3 глави 5 Методики (порядку) формування плати за приєднання до системи передачі та системи розподілу, які набирають чинності з 31 грудня 2020 року.</w:t>
      </w:r>
    </w:p>
    <w:tbl>
      <w:tblPr>
        <w:tblW w:w="5000" w:type="pct"/>
        <w:tblCellMar>
          <w:left w:w="0" w:type="dxa"/>
          <w:right w:w="0" w:type="dxa"/>
        </w:tblCellMar>
        <w:tblLook w:val="04A0" w:firstRow="1" w:lastRow="0" w:firstColumn="1" w:lastColumn="0" w:noHBand="0" w:noVBand="1"/>
      </w:tblPr>
      <w:tblGrid>
        <w:gridCol w:w="3927"/>
        <w:gridCol w:w="5422"/>
      </w:tblGrid>
      <w:tr w:rsidR="00AE4E6A" w:rsidRPr="00AE4E6A" w:rsidTr="00AE4E6A">
        <w:tc>
          <w:tcPr>
            <w:tcW w:w="21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300" w:after="150" w:line="240" w:lineRule="auto"/>
              <w:jc w:val="center"/>
              <w:rPr>
                <w:rFonts w:ascii="Times New Roman" w:eastAsia="Times New Roman" w:hAnsi="Times New Roman" w:cs="Times New Roman"/>
                <w:sz w:val="24"/>
                <w:szCs w:val="24"/>
                <w:lang w:eastAsia="uk-UA"/>
              </w:rPr>
            </w:pPr>
            <w:bookmarkStart w:id="9" w:name="n9"/>
            <w:bookmarkEnd w:id="9"/>
            <w:r w:rsidRPr="00AE4E6A">
              <w:rPr>
                <w:rFonts w:ascii="Times New Roman" w:eastAsia="Times New Roman" w:hAnsi="Times New Roman" w:cs="Times New Roman"/>
                <w:b/>
                <w:bCs/>
                <w:sz w:val="24"/>
                <w:szCs w:val="24"/>
                <w:lang w:eastAsia="uk-UA"/>
              </w:rPr>
              <w:t>Голова НКРЕКП</w:t>
            </w:r>
          </w:p>
        </w:tc>
        <w:tc>
          <w:tcPr>
            <w:tcW w:w="35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300" w:after="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b/>
                <w:bCs/>
                <w:sz w:val="24"/>
                <w:szCs w:val="24"/>
                <w:lang w:eastAsia="uk-UA"/>
              </w:rPr>
              <w:t>О. Кривенко</w:t>
            </w:r>
          </w:p>
        </w:tc>
      </w:tr>
    </w:tbl>
    <w:p w:rsidR="00AE4E6A" w:rsidRPr="00AE4E6A" w:rsidRDefault="00AE4E6A" w:rsidP="00AE4E6A">
      <w:pPr>
        <w:spacing w:after="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AE4E6A" w:rsidRPr="00AE4E6A" w:rsidTr="00AE4E6A">
        <w:tc>
          <w:tcPr>
            <w:tcW w:w="30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0" w:name="n173"/>
            <w:bookmarkStart w:id="11" w:name="n10"/>
            <w:bookmarkEnd w:id="10"/>
            <w:bookmarkEnd w:id="11"/>
            <w:r w:rsidRPr="00AE4E6A">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b/>
                <w:bCs/>
                <w:sz w:val="24"/>
                <w:szCs w:val="24"/>
                <w:lang w:eastAsia="uk-UA"/>
              </w:rPr>
              <w:t>ЗАТВЕРДЖЕНО</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Постанова Національної комісії,</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що здійснює</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державне регулювання</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у сферах енергетики</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та комунальних послуг</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18 грудня 2018 року № 1965</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(у редакції постанови НКРЕКП</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25.11.2020 </w:t>
            </w:r>
            <w:hyperlink r:id="rId18" w:anchor="n11" w:tgtFrame="_blank" w:history="1">
              <w:r w:rsidRPr="00AE4E6A">
                <w:rPr>
                  <w:rFonts w:ascii="Times New Roman" w:eastAsia="Times New Roman" w:hAnsi="Times New Roman" w:cs="Times New Roman"/>
                  <w:b/>
                  <w:bCs/>
                  <w:color w:val="0000FF"/>
                  <w:sz w:val="24"/>
                  <w:szCs w:val="24"/>
                  <w:u w:val="single"/>
                  <w:lang w:eastAsia="uk-UA"/>
                </w:rPr>
                <w:t>№ 2161</w:t>
              </w:r>
            </w:hyperlink>
            <w:r w:rsidRPr="00AE4E6A">
              <w:rPr>
                <w:rFonts w:ascii="Times New Roman" w:eastAsia="Times New Roman" w:hAnsi="Times New Roman" w:cs="Times New Roman"/>
                <w:b/>
                <w:bCs/>
                <w:sz w:val="24"/>
                <w:szCs w:val="24"/>
                <w:lang w:eastAsia="uk-UA"/>
              </w:rPr>
              <w:t>)</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 w:name="n399"/>
      <w:bookmarkEnd w:id="12"/>
      <w:r w:rsidRPr="00AE4E6A">
        <w:rPr>
          <w:rFonts w:ascii="Times New Roman" w:eastAsia="Times New Roman" w:hAnsi="Times New Roman" w:cs="Times New Roman"/>
          <w:i/>
          <w:iCs/>
          <w:color w:val="333333"/>
          <w:sz w:val="24"/>
          <w:szCs w:val="24"/>
          <w:shd w:val="clear" w:color="auto" w:fill="FFFFFF"/>
          <w:lang w:eastAsia="uk-UA"/>
        </w:rPr>
        <w:t>{Дію Методики, крім </w:t>
      </w:r>
      <w:hyperlink r:id="rId19" w:anchor="n369" w:history="1">
        <w:r w:rsidRPr="00AE4E6A">
          <w:rPr>
            <w:rFonts w:ascii="Times New Roman" w:eastAsia="Times New Roman" w:hAnsi="Times New Roman" w:cs="Times New Roman"/>
            <w:i/>
            <w:iCs/>
            <w:color w:val="0000FF"/>
            <w:sz w:val="24"/>
            <w:szCs w:val="24"/>
            <w:u w:val="single"/>
            <w:lang w:eastAsia="uk-UA"/>
          </w:rPr>
          <w:t>пункту 1.5</w:t>
        </w:r>
      </w:hyperlink>
      <w:r w:rsidRPr="00AE4E6A">
        <w:rPr>
          <w:rFonts w:ascii="Times New Roman" w:eastAsia="Times New Roman" w:hAnsi="Times New Roman" w:cs="Times New Roman"/>
          <w:i/>
          <w:iCs/>
          <w:color w:val="333333"/>
          <w:sz w:val="24"/>
          <w:szCs w:val="24"/>
          <w:shd w:val="clear" w:color="auto" w:fill="FFFFFF"/>
          <w:lang w:eastAsia="uk-UA"/>
        </w:rPr>
        <w:t> глави 1 та </w:t>
      </w:r>
      <w:hyperlink r:id="rId20" w:anchor="n295" w:history="1">
        <w:r w:rsidRPr="00AE4E6A">
          <w:rPr>
            <w:rFonts w:ascii="Times New Roman" w:eastAsia="Times New Roman" w:hAnsi="Times New Roman" w:cs="Times New Roman"/>
            <w:i/>
            <w:iCs/>
            <w:color w:val="0000FF"/>
            <w:sz w:val="24"/>
            <w:szCs w:val="24"/>
            <w:u w:val="single"/>
            <w:lang w:eastAsia="uk-UA"/>
          </w:rPr>
          <w:t>глави 6</w:t>
        </w:r>
      </w:hyperlink>
      <w:r w:rsidRPr="00AE4E6A">
        <w:rPr>
          <w:rFonts w:ascii="Times New Roman" w:eastAsia="Times New Roman" w:hAnsi="Times New Roman" w:cs="Times New Roman"/>
          <w:i/>
          <w:iCs/>
          <w:color w:val="333333"/>
          <w:sz w:val="24"/>
          <w:szCs w:val="24"/>
          <w:shd w:val="clear" w:color="auto" w:fill="FFFFFF"/>
          <w:lang w:eastAsia="uk-UA"/>
        </w:rPr>
        <w:t xml:space="preserve"> Методики, </w:t>
      </w:r>
      <w:proofErr w:type="spellStart"/>
      <w:r w:rsidRPr="00AE4E6A">
        <w:rPr>
          <w:rFonts w:ascii="Times New Roman" w:eastAsia="Times New Roman" w:hAnsi="Times New Roman" w:cs="Times New Roman"/>
          <w:i/>
          <w:iCs/>
          <w:color w:val="333333"/>
          <w:sz w:val="24"/>
          <w:szCs w:val="24"/>
          <w:shd w:val="clear" w:color="auto" w:fill="FFFFFF"/>
          <w:lang w:eastAsia="uk-UA"/>
        </w:rPr>
        <w:t>зупинено</w:t>
      </w:r>
      <w:proofErr w:type="spellEnd"/>
      <w:r w:rsidRPr="00AE4E6A">
        <w:rPr>
          <w:rFonts w:ascii="Times New Roman" w:eastAsia="Times New Roman" w:hAnsi="Times New Roman" w:cs="Times New Roman"/>
          <w:i/>
          <w:iCs/>
          <w:color w:val="333333"/>
          <w:sz w:val="24"/>
          <w:szCs w:val="24"/>
          <w:shd w:val="clear" w:color="auto" w:fill="FFFFFF"/>
          <w:lang w:eastAsia="uk-UA"/>
        </w:rPr>
        <w:t xml:space="preserve"> на період дії в Україні воєнного стану до прийняття НКРЕКП окремого рішення на підставі Постанови Національної комісії, що здійснює державне регулювання у сферах енергетики та комунальних послуги </w:t>
      </w:r>
      <w:hyperlink r:id="rId21" w:anchor="n6" w:tgtFrame="_blank" w:history="1">
        <w:r w:rsidRPr="00AE4E6A">
          <w:rPr>
            <w:rFonts w:ascii="Times New Roman" w:eastAsia="Times New Roman" w:hAnsi="Times New Roman" w:cs="Times New Roman"/>
            <w:i/>
            <w:iCs/>
            <w:color w:val="0000FF"/>
            <w:sz w:val="24"/>
            <w:szCs w:val="24"/>
            <w:u w:val="single"/>
            <w:lang w:eastAsia="uk-UA"/>
          </w:rPr>
          <w:t>№ 352 від 26.03.2022</w:t>
        </w:r>
      </w:hyperlink>
      <w:r w:rsidRPr="00AE4E6A">
        <w:rPr>
          <w:rFonts w:ascii="Times New Roman" w:eastAsia="Times New Roman" w:hAnsi="Times New Roman" w:cs="Times New Roman"/>
          <w:i/>
          <w:iCs/>
          <w:color w:val="333333"/>
          <w:sz w:val="24"/>
          <w:szCs w:val="24"/>
          <w:shd w:val="clear" w:color="auto" w:fill="FFFFFF"/>
          <w:lang w:eastAsia="uk-UA"/>
        </w:rPr>
        <w:t> - враховуючи зміни, внесені Постановами Національної комісії, що здійснює державне регулювання у сферах енергетики та комунальних послуг </w:t>
      </w:r>
      <w:hyperlink r:id="rId22" w:anchor="n6" w:tgtFrame="_blank" w:history="1">
        <w:r w:rsidRPr="00AE4E6A">
          <w:rPr>
            <w:rFonts w:ascii="Times New Roman" w:eastAsia="Times New Roman" w:hAnsi="Times New Roman" w:cs="Times New Roman"/>
            <w:i/>
            <w:iCs/>
            <w:color w:val="0000FF"/>
            <w:sz w:val="24"/>
            <w:szCs w:val="24"/>
            <w:u w:val="single"/>
            <w:lang w:eastAsia="uk-UA"/>
          </w:rPr>
          <w:t>№ 407 від 26.04.2022</w:t>
        </w:r>
      </w:hyperlink>
      <w:r w:rsidRPr="00AE4E6A">
        <w:rPr>
          <w:rFonts w:ascii="Times New Roman" w:eastAsia="Times New Roman" w:hAnsi="Times New Roman" w:cs="Times New Roman"/>
          <w:i/>
          <w:iCs/>
          <w:color w:val="333333"/>
          <w:sz w:val="24"/>
          <w:szCs w:val="24"/>
          <w:shd w:val="clear" w:color="auto" w:fill="FFFFFF"/>
          <w:lang w:eastAsia="uk-UA"/>
        </w:rPr>
        <w:t>, </w:t>
      </w:r>
      <w:hyperlink r:id="rId23" w:anchor="n6" w:tgtFrame="_blank" w:history="1">
        <w:r w:rsidRPr="00AE4E6A">
          <w:rPr>
            <w:rFonts w:ascii="Times New Roman" w:eastAsia="Times New Roman" w:hAnsi="Times New Roman" w:cs="Times New Roman"/>
            <w:i/>
            <w:iCs/>
            <w:color w:val="0000FF"/>
            <w:sz w:val="24"/>
            <w:szCs w:val="24"/>
            <w:u w:val="single"/>
            <w:lang w:eastAsia="uk-UA"/>
          </w:rPr>
          <w:t>№ 1138 від 13.09.2022</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3" w:name="n189"/>
      <w:bookmarkEnd w:id="13"/>
      <w:r w:rsidRPr="00AE4E6A">
        <w:rPr>
          <w:rFonts w:ascii="Times New Roman" w:eastAsia="Times New Roman" w:hAnsi="Times New Roman" w:cs="Times New Roman"/>
          <w:b/>
          <w:bCs/>
          <w:color w:val="333333"/>
          <w:sz w:val="32"/>
          <w:szCs w:val="32"/>
          <w:lang w:eastAsia="uk-UA"/>
        </w:rPr>
        <w:t>МЕТОДИКА (ПОРЯДОК)</w:t>
      </w:r>
      <w:r w:rsidRPr="00AE4E6A">
        <w:rPr>
          <w:rFonts w:ascii="Times New Roman" w:eastAsia="Times New Roman" w:hAnsi="Times New Roman" w:cs="Times New Roman"/>
          <w:color w:val="333333"/>
          <w:sz w:val="24"/>
          <w:szCs w:val="24"/>
          <w:lang w:eastAsia="uk-UA"/>
        </w:rPr>
        <w:br/>
      </w:r>
      <w:r w:rsidRPr="00AE4E6A">
        <w:rPr>
          <w:rFonts w:ascii="Times New Roman" w:eastAsia="Times New Roman" w:hAnsi="Times New Roman" w:cs="Times New Roman"/>
          <w:b/>
          <w:bCs/>
          <w:color w:val="333333"/>
          <w:sz w:val="32"/>
          <w:szCs w:val="32"/>
          <w:lang w:eastAsia="uk-UA"/>
        </w:rPr>
        <w:t>формування плати за приєднання до системи передачі та системи розподілу</w:t>
      </w:r>
    </w:p>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 w:name="n191"/>
      <w:bookmarkEnd w:id="14"/>
      <w:r w:rsidRPr="00AE4E6A">
        <w:rPr>
          <w:rFonts w:ascii="Times New Roman" w:eastAsia="Times New Roman" w:hAnsi="Times New Roman" w:cs="Times New Roman"/>
          <w:b/>
          <w:bCs/>
          <w:color w:val="333333"/>
          <w:sz w:val="28"/>
          <w:szCs w:val="28"/>
          <w:lang w:eastAsia="uk-UA"/>
        </w:rPr>
        <w:t>1. Загальні положення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92"/>
      <w:bookmarkEnd w:id="15"/>
      <w:r w:rsidRPr="00AE4E6A">
        <w:rPr>
          <w:rFonts w:ascii="Times New Roman" w:eastAsia="Times New Roman" w:hAnsi="Times New Roman" w:cs="Times New Roman"/>
          <w:color w:val="333333"/>
          <w:sz w:val="24"/>
          <w:szCs w:val="24"/>
          <w:lang w:eastAsia="uk-UA"/>
        </w:rPr>
        <w:t>1.1. Ця Методика встановлює порядок формування (розрахунку) плати за приєднання електроустановок замовників до електричних мереж системи передачі та системи розподілу, збільшення величини дозволеної до використання потужності електроустановок замовника, підвищення рівня надійності електрозабезпечення електроустановок замовника, зміни ступеня напруги в точці приєднання, зміни схеми живлення електроустановок замовника (з однофазної на трифазну) та/або зміни точки забезпечення потужності та застосовується оператором системи передачі та операторами системи розподілу для розрахунку плати за приєднання електроустановок до власних електричних мереж.</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 w:name="n317"/>
      <w:bookmarkEnd w:id="16"/>
      <w:r w:rsidRPr="00AE4E6A">
        <w:rPr>
          <w:rFonts w:ascii="Times New Roman" w:eastAsia="Times New Roman" w:hAnsi="Times New Roman" w:cs="Times New Roman"/>
          <w:i/>
          <w:iCs/>
          <w:color w:val="333333"/>
          <w:sz w:val="24"/>
          <w:szCs w:val="24"/>
          <w:shd w:val="clear" w:color="auto" w:fill="FFFFFF"/>
          <w:lang w:eastAsia="uk-UA"/>
        </w:rPr>
        <w:t>{Пункт 1.1 глави 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 w:anchor="n11"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93"/>
      <w:bookmarkEnd w:id="17"/>
      <w:r w:rsidRPr="00AE4E6A">
        <w:rPr>
          <w:rFonts w:ascii="Times New Roman" w:eastAsia="Times New Roman" w:hAnsi="Times New Roman" w:cs="Times New Roman"/>
          <w:color w:val="333333"/>
          <w:sz w:val="24"/>
          <w:szCs w:val="24"/>
          <w:lang w:eastAsia="uk-UA"/>
        </w:rPr>
        <w:t>1.2. У цій Методиці терміни вживаються в таких значеннях:</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94"/>
      <w:bookmarkEnd w:id="18"/>
      <w:r w:rsidRPr="00AE4E6A">
        <w:rPr>
          <w:rFonts w:ascii="Times New Roman" w:eastAsia="Times New Roman" w:hAnsi="Times New Roman" w:cs="Times New Roman"/>
          <w:color w:val="333333"/>
          <w:sz w:val="24"/>
          <w:szCs w:val="24"/>
          <w:lang w:eastAsia="uk-UA"/>
        </w:rPr>
        <w:lastRenderedPageBreak/>
        <w:t>базовий період - завершений період часу терміном в один календарний рік з 01 січня минулого календарного року до 31 грудня (включно) минулого календарного року, що передує поточному року, в якому розраховуються ставки плати за стандартне та нестандартне приєднання потужності на розрахунковий період;</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195"/>
      <w:bookmarkEnd w:id="19"/>
      <w:r w:rsidRPr="00AE4E6A">
        <w:rPr>
          <w:rFonts w:ascii="Times New Roman" w:eastAsia="Times New Roman" w:hAnsi="Times New Roman" w:cs="Times New Roman"/>
          <w:color w:val="333333"/>
          <w:sz w:val="24"/>
          <w:szCs w:val="24"/>
          <w:lang w:eastAsia="uk-UA"/>
        </w:rPr>
        <w:t>міська місцевість - адміністративна територія міських поселень (міста та селища міського типу);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96"/>
      <w:bookmarkEnd w:id="20"/>
      <w:r w:rsidRPr="00AE4E6A">
        <w:rPr>
          <w:rFonts w:ascii="Times New Roman" w:eastAsia="Times New Roman" w:hAnsi="Times New Roman" w:cs="Times New Roman"/>
          <w:color w:val="333333"/>
          <w:sz w:val="24"/>
          <w:szCs w:val="24"/>
          <w:lang w:eastAsia="uk-UA"/>
        </w:rPr>
        <w:t>розрахунковий період - календарний рік з 01 січня до 31 грудня включно, на який встановлюються ставки плати за стандартне приєднання та ставки плати за нестандартне приєднання потужності;</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197"/>
      <w:bookmarkEnd w:id="21"/>
      <w:r w:rsidRPr="00AE4E6A">
        <w:rPr>
          <w:rFonts w:ascii="Times New Roman" w:eastAsia="Times New Roman" w:hAnsi="Times New Roman" w:cs="Times New Roman"/>
          <w:color w:val="333333"/>
          <w:sz w:val="24"/>
          <w:szCs w:val="24"/>
          <w:lang w:eastAsia="uk-UA"/>
        </w:rPr>
        <w:t>сільська місцевість - адміністративна територія, за винятком території міст та селищ міського типу;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98"/>
      <w:bookmarkEnd w:id="22"/>
      <w:r w:rsidRPr="00AE4E6A">
        <w:rPr>
          <w:rFonts w:ascii="Times New Roman" w:eastAsia="Times New Roman" w:hAnsi="Times New Roman" w:cs="Times New Roman"/>
          <w:color w:val="333333"/>
          <w:sz w:val="24"/>
          <w:szCs w:val="24"/>
          <w:lang w:eastAsia="uk-UA"/>
        </w:rPr>
        <w:t xml:space="preserve">територіальна одиниця оператора системи розподілу - комплекс електричних мереж, призначених для розподілу та трансформації електричної енергії, включаючи лінії </w:t>
      </w:r>
      <w:proofErr w:type="spellStart"/>
      <w:r w:rsidRPr="00AE4E6A">
        <w:rPr>
          <w:rFonts w:ascii="Times New Roman" w:eastAsia="Times New Roman" w:hAnsi="Times New Roman" w:cs="Times New Roman"/>
          <w:color w:val="333333"/>
          <w:sz w:val="24"/>
          <w:szCs w:val="24"/>
          <w:lang w:eastAsia="uk-UA"/>
        </w:rPr>
        <w:t>електропередавання</w:t>
      </w:r>
      <w:proofErr w:type="spellEnd"/>
      <w:r w:rsidRPr="00AE4E6A">
        <w:rPr>
          <w:rFonts w:ascii="Times New Roman" w:eastAsia="Times New Roman" w:hAnsi="Times New Roman" w:cs="Times New Roman"/>
          <w:color w:val="333333"/>
          <w:sz w:val="24"/>
          <w:szCs w:val="24"/>
          <w:lang w:eastAsia="uk-UA"/>
        </w:rPr>
        <w:t xml:space="preserve"> (ЛЕП), підстанції (ПС), трансформаторні підстанції (ТП) та розподільчі пункти (РП), що розташовані в межах відповідного структурного підрозділу оператора системи розподілу.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199"/>
      <w:bookmarkEnd w:id="23"/>
      <w:r w:rsidRPr="00AE4E6A">
        <w:rPr>
          <w:rFonts w:ascii="Times New Roman" w:eastAsia="Times New Roman" w:hAnsi="Times New Roman" w:cs="Times New Roman"/>
          <w:color w:val="333333"/>
          <w:sz w:val="24"/>
          <w:szCs w:val="24"/>
          <w:lang w:eastAsia="uk-UA"/>
        </w:rPr>
        <w:t>Інші терміни вживаються в цій Методиці у значеннях, наведених у </w:t>
      </w:r>
      <w:hyperlink r:id="rId25" w:tgtFrame="_blank" w:history="1">
        <w:r w:rsidRPr="00AE4E6A">
          <w:rPr>
            <w:rFonts w:ascii="Times New Roman" w:eastAsia="Times New Roman" w:hAnsi="Times New Roman" w:cs="Times New Roman"/>
            <w:color w:val="0000FF"/>
            <w:sz w:val="24"/>
            <w:szCs w:val="24"/>
            <w:u w:val="single"/>
            <w:lang w:eastAsia="uk-UA"/>
          </w:rPr>
          <w:t>Законі України</w:t>
        </w:r>
      </w:hyperlink>
      <w:r w:rsidRPr="00AE4E6A">
        <w:rPr>
          <w:rFonts w:ascii="Times New Roman" w:eastAsia="Times New Roman" w:hAnsi="Times New Roman" w:cs="Times New Roman"/>
          <w:color w:val="333333"/>
          <w:sz w:val="24"/>
          <w:szCs w:val="24"/>
          <w:lang w:eastAsia="uk-UA"/>
        </w:rPr>
        <w:t> «Про ринок електричної енергії», </w:t>
      </w:r>
      <w:hyperlink r:id="rId26" w:anchor="n23" w:tgtFrame="_blank" w:history="1">
        <w:r w:rsidRPr="00AE4E6A">
          <w:rPr>
            <w:rFonts w:ascii="Times New Roman" w:eastAsia="Times New Roman" w:hAnsi="Times New Roman" w:cs="Times New Roman"/>
            <w:color w:val="0000FF"/>
            <w:sz w:val="24"/>
            <w:szCs w:val="24"/>
            <w:u w:val="single"/>
            <w:lang w:eastAsia="uk-UA"/>
          </w:rPr>
          <w:t>Кодексі системи передачі</w:t>
        </w:r>
      </w:hyperlink>
      <w:r w:rsidRPr="00AE4E6A">
        <w:rPr>
          <w:rFonts w:ascii="Times New Roman" w:eastAsia="Times New Roman" w:hAnsi="Times New Roman" w:cs="Times New Roman"/>
          <w:color w:val="333333"/>
          <w:sz w:val="24"/>
          <w:szCs w:val="24"/>
          <w:lang w:eastAsia="uk-UA"/>
        </w:rPr>
        <w:t>, затвердженому постановою НКРЕКП від 14 березня 2018 року № 309 (далі - Кодекс системи передачі), та </w:t>
      </w:r>
      <w:hyperlink r:id="rId27" w:anchor="n11" w:tgtFrame="_blank" w:history="1">
        <w:r w:rsidRPr="00AE4E6A">
          <w:rPr>
            <w:rFonts w:ascii="Times New Roman" w:eastAsia="Times New Roman" w:hAnsi="Times New Roman" w:cs="Times New Roman"/>
            <w:color w:val="0000FF"/>
            <w:sz w:val="24"/>
            <w:szCs w:val="24"/>
            <w:u w:val="single"/>
            <w:lang w:eastAsia="uk-UA"/>
          </w:rPr>
          <w:t>Кодексі систем розподілу</w:t>
        </w:r>
      </w:hyperlink>
      <w:r w:rsidRPr="00AE4E6A">
        <w:rPr>
          <w:rFonts w:ascii="Times New Roman" w:eastAsia="Times New Roman" w:hAnsi="Times New Roman" w:cs="Times New Roman"/>
          <w:color w:val="333333"/>
          <w:sz w:val="24"/>
          <w:szCs w:val="24"/>
          <w:lang w:eastAsia="uk-UA"/>
        </w:rPr>
        <w:t>, затвердженому постановою НКРЕКП від 14 березня 2018 року № 310 (далі - Кодекс систем розподілу).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00"/>
      <w:bookmarkEnd w:id="24"/>
      <w:r w:rsidRPr="00AE4E6A">
        <w:rPr>
          <w:rFonts w:ascii="Times New Roman" w:eastAsia="Times New Roman" w:hAnsi="Times New Roman" w:cs="Times New Roman"/>
          <w:color w:val="333333"/>
          <w:sz w:val="24"/>
          <w:szCs w:val="24"/>
          <w:lang w:eastAsia="uk-UA"/>
        </w:rPr>
        <w:t xml:space="preserve">1.3. Ставки плати за стандартне приєднання та ставки плати за нестандартне приєднання потужності щорічно розраховуються, затверджуються та оприлюднюються НКРЕКП на своєму офіційному </w:t>
      </w:r>
      <w:proofErr w:type="spellStart"/>
      <w:r w:rsidRPr="00AE4E6A">
        <w:rPr>
          <w:rFonts w:ascii="Times New Roman" w:eastAsia="Times New Roman" w:hAnsi="Times New Roman" w:cs="Times New Roman"/>
          <w:color w:val="333333"/>
          <w:sz w:val="24"/>
          <w:szCs w:val="24"/>
          <w:lang w:eastAsia="uk-UA"/>
        </w:rPr>
        <w:t>вебсайті</w:t>
      </w:r>
      <w:proofErr w:type="spellEnd"/>
      <w:r w:rsidRPr="00AE4E6A">
        <w:rPr>
          <w:rFonts w:ascii="Times New Roman" w:eastAsia="Times New Roman" w:hAnsi="Times New Roman" w:cs="Times New Roman"/>
          <w:color w:val="333333"/>
          <w:sz w:val="24"/>
          <w:szCs w:val="24"/>
          <w:lang w:eastAsia="uk-UA"/>
        </w:rPr>
        <w:t xml:space="preserve"> до початку розрахункового періоду.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01"/>
      <w:bookmarkEnd w:id="25"/>
      <w:r w:rsidRPr="00AE4E6A">
        <w:rPr>
          <w:rFonts w:ascii="Times New Roman" w:eastAsia="Times New Roman" w:hAnsi="Times New Roman" w:cs="Times New Roman"/>
          <w:color w:val="333333"/>
          <w:sz w:val="24"/>
          <w:szCs w:val="24"/>
          <w:lang w:eastAsia="uk-UA"/>
        </w:rPr>
        <w:t>Ставки плати за лінійну частину приєднання розраховуються та затверджуються НКРЕКП для всіх операторів систем розподілу відповідно до цієї Методики з урахуванням укрупнених показників вартості будівництва електричних мереж,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02"/>
      <w:bookmarkEnd w:id="26"/>
      <w:r w:rsidRPr="00AE4E6A">
        <w:rPr>
          <w:rFonts w:ascii="Times New Roman" w:eastAsia="Times New Roman" w:hAnsi="Times New Roman" w:cs="Times New Roman"/>
          <w:color w:val="333333"/>
          <w:sz w:val="24"/>
          <w:szCs w:val="24"/>
          <w:lang w:eastAsia="uk-UA"/>
        </w:rPr>
        <w:t>Ставки плати за нестандартне приєднання потужності застосовуються для територіальної одиниці оператора системи розподілу, де розташований об'єкт замовника.</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320"/>
      <w:bookmarkEnd w:id="27"/>
      <w:r w:rsidRPr="00AE4E6A">
        <w:rPr>
          <w:rFonts w:ascii="Times New Roman" w:eastAsia="Times New Roman" w:hAnsi="Times New Roman" w:cs="Times New Roman"/>
          <w:color w:val="333333"/>
          <w:sz w:val="24"/>
          <w:szCs w:val="24"/>
          <w:lang w:eastAsia="uk-UA"/>
        </w:rPr>
        <w:t>1.4. Розрахунок ставок на стандартне приєднання проводиться без урахування витрат, понесених під час надання послуги з приєднання, за якою здійснювалось улаштування розвантажувальних трансформаторних пунктів, окрім трансформаторних пунктів, які забезпечують покриття дефіциту потужності виключно для потреб замовника приєднання.</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 w:name="n321"/>
      <w:bookmarkEnd w:id="28"/>
      <w:r w:rsidRPr="00AE4E6A">
        <w:rPr>
          <w:rFonts w:ascii="Times New Roman" w:eastAsia="Times New Roman" w:hAnsi="Times New Roman" w:cs="Times New Roman"/>
          <w:i/>
          <w:iCs/>
          <w:color w:val="333333"/>
          <w:sz w:val="24"/>
          <w:szCs w:val="24"/>
          <w:shd w:val="clear" w:color="auto" w:fill="FFFFFF"/>
          <w:lang w:eastAsia="uk-UA"/>
        </w:rPr>
        <w:t>{Пункт 1.4 глави 1 в редакції Постанови Національної комісії, що здійснює державне регулювання у сферах енергетики та комунальних послуг </w:t>
      </w:r>
      <w:hyperlink r:id="rId28" w:anchor="n12"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69"/>
      <w:bookmarkEnd w:id="29"/>
      <w:r w:rsidRPr="00AE4E6A">
        <w:rPr>
          <w:rFonts w:ascii="Times New Roman" w:eastAsia="Times New Roman" w:hAnsi="Times New Roman" w:cs="Times New Roman"/>
          <w:color w:val="333333"/>
          <w:sz w:val="24"/>
          <w:szCs w:val="24"/>
          <w:lang w:eastAsia="uk-UA"/>
        </w:rPr>
        <w:t>1.5. Оператор системи передачі та оператори систем розподілу складають станом на останнє число звітного кварталу наростаючим підсумком з початку базового періоду звіт щодо надання ними послуг з приєднання за формою, наведеною в </w:t>
      </w:r>
      <w:hyperlink r:id="rId29" w:anchor="n146" w:history="1">
        <w:r w:rsidRPr="00AE4E6A">
          <w:rPr>
            <w:rFonts w:ascii="Times New Roman" w:eastAsia="Times New Roman" w:hAnsi="Times New Roman" w:cs="Times New Roman"/>
            <w:color w:val="0000FF"/>
            <w:sz w:val="24"/>
            <w:szCs w:val="24"/>
            <w:u w:val="single"/>
            <w:lang w:eastAsia="uk-UA"/>
          </w:rPr>
          <w:t>додатку 1</w:t>
        </w:r>
      </w:hyperlink>
      <w:r w:rsidRPr="00AE4E6A">
        <w:rPr>
          <w:rFonts w:ascii="Times New Roman" w:eastAsia="Times New Roman" w:hAnsi="Times New Roman" w:cs="Times New Roman"/>
          <w:color w:val="333333"/>
          <w:sz w:val="24"/>
          <w:szCs w:val="24"/>
          <w:lang w:eastAsia="uk-UA"/>
        </w:rPr>
        <w:t> до цієї Методики, та подають до НКРЕКП до 30 числа місяця, наступного за звітним кварталом, скорочену форму звіту (графи 1-63 та 109-125) та до 01 лютого повну форму звіту за базовий період.</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70"/>
      <w:bookmarkEnd w:id="30"/>
      <w:r w:rsidRPr="00AE4E6A">
        <w:rPr>
          <w:rFonts w:ascii="Times New Roman" w:eastAsia="Times New Roman" w:hAnsi="Times New Roman" w:cs="Times New Roman"/>
          <w:color w:val="333333"/>
          <w:sz w:val="24"/>
          <w:szCs w:val="24"/>
          <w:lang w:eastAsia="uk-UA"/>
        </w:rPr>
        <w:t>У звіті щодо стану надання оператором системи передачі та операторами систем розподілу послуг з приєднання відображається інформація про:</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71"/>
      <w:bookmarkEnd w:id="31"/>
      <w:r w:rsidRPr="00AE4E6A">
        <w:rPr>
          <w:rFonts w:ascii="Times New Roman" w:eastAsia="Times New Roman" w:hAnsi="Times New Roman" w:cs="Times New Roman"/>
          <w:color w:val="333333"/>
          <w:sz w:val="24"/>
          <w:szCs w:val="24"/>
          <w:lang w:eastAsia="uk-UA"/>
        </w:rPr>
        <w:lastRenderedPageBreak/>
        <w:t>замовників, яким надано послуги з приєднання у звітному кварталі;</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72"/>
      <w:bookmarkEnd w:id="32"/>
      <w:r w:rsidRPr="00AE4E6A">
        <w:rPr>
          <w:rFonts w:ascii="Times New Roman" w:eastAsia="Times New Roman" w:hAnsi="Times New Roman" w:cs="Times New Roman"/>
          <w:color w:val="333333"/>
          <w:sz w:val="24"/>
          <w:szCs w:val="24"/>
          <w:lang w:eastAsia="uk-UA"/>
        </w:rPr>
        <w:t>замовників, для яких триває процедура надання послуги з приєднання;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73"/>
      <w:bookmarkEnd w:id="33"/>
      <w:r w:rsidRPr="00AE4E6A">
        <w:rPr>
          <w:rFonts w:ascii="Times New Roman" w:eastAsia="Times New Roman" w:hAnsi="Times New Roman" w:cs="Times New Roman"/>
          <w:color w:val="333333"/>
          <w:sz w:val="24"/>
          <w:szCs w:val="24"/>
          <w:lang w:eastAsia="uk-UA"/>
        </w:rPr>
        <w:t xml:space="preserve">замовників, яким </w:t>
      </w:r>
      <w:proofErr w:type="spellStart"/>
      <w:r w:rsidRPr="00AE4E6A">
        <w:rPr>
          <w:rFonts w:ascii="Times New Roman" w:eastAsia="Times New Roman" w:hAnsi="Times New Roman" w:cs="Times New Roman"/>
          <w:color w:val="333333"/>
          <w:sz w:val="24"/>
          <w:szCs w:val="24"/>
          <w:lang w:eastAsia="uk-UA"/>
        </w:rPr>
        <w:t>повернено</w:t>
      </w:r>
      <w:proofErr w:type="spellEnd"/>
      <w:r w:rsidRPr="00AE4E6A">
        <w:rPr>
          <w:rFonts w:ascii="Times New Roman" w:eastAsia="Times New Roman" w:hAnsi="Times New Roman" w:cs="Times New Roman"/>
          <w:color w:val="333333"/>
          <w:sz w:val="24"/>
          <w:szCs w:val="24"/>
          <w:lang w:eastAsia="uk-UA"/>
        </w:rPr>
        <w:t xml:space="preserve"> заяви про приєднання (відмовлено у наданні послуги з приєднання);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74"/>
      <w:bookmarkEnd w:id="34"/>
      <w:r w:rsidRPr="00AE4E6A">
        <w:rPr>
          <w:rFonts w:ascii="Times New Roman" w:eastAsia="Times New Roman" w:hAnsi="Times New Roman" w:cs="Times New Roman"/>
          <w:color w:val="333333"/>
          <w:sz w:val="24"/>
          <w:szCs w:val="24"/>
          <w:lang w:eastAsia="uk-UA"/>
        </w:rPr>
        <w:t>замовників, які звернулись із заявою про приєднання до оператора системи передачі та операторів систем розподілу у звітному кварталі.</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75"/>
      <w:bookmarkEnd w:id="35"/>
      <w:r w:rsidRPr="00AE4E6A">
        <w:rPr>
          <w:rFonts w:ascii="Times New Roman" w:eastAsia="Times New Roman" w:hAnsi="Times New Roman" w:cs="Times New Roman"/>
          <w:color w:val="333333"/>
          <w:sz w:val="24"/>
          <w:szCs w:val="24"/>
          <w:lang w:eastAsia="uk-UA"/>
        </w:rPr>
        <w:t>Оператори систем розподілу щороку до 01 лютого надають до НКРЕКП інформацію про місячний обсяг трансформації електричної енергії на напругу 6(10)20 кВ для трансформаторних підстанцій (ПС) основної мережі напругою 35-110 (154) кВ відповідно до територіальних одиниць оператора системи розподілу (за формою, наведеною в </w:t>
      </w:r>
      <w:hyperlink r:id="rId30" w:anchor="n150" w:history="1">
        <w:r w:rsidRPr="00AE4E6A">
          <w:rPr>
            <w:rFonts w:ascii="Times New Roman" w:eastAsia="Times New Roman" w:hAnsi="Times New Roman" w:cs="Times New Roman"/>
            <w:color w:val="0000FF"/>
            <w:sz w:val="24"/>
            <w:szCs w:val="24"/>
            <w:u w:val="single"/>
            <w:lang w:eastAsia="uk-UA"/>
          </w:rPr>
          <w:t>додатку 2</w:t>
        </w:r>
      </w:hyperlink>
      <w:r w:rsidRPr="00AE4E6A">
        <w:rPr>
          <w:rFonts w:ascii="Times New Roman" w:eastAsia="Times New Roman" w:hAnsi="Times New Roman" w:cs="Times New Roman"/>
          <w:color w:val="333333"/>
          <w:sz w:val="24"/>
          <w:szCs w:val="24"/>
          <w:lang w:eastAsia="uk-UA"/>
        </w:rPr>
        <w:t> до цієї Методики) та розрахунок дефіциту або профіциту коштів щодо надходжень та витрат, пов'язаних з наданням послуг з приєднання, який виконується за </w:t>
      </w:r>
      <w:hyperlink r:id="rId31" w:anchor="n241" w:history="1">
        <w:r w:rsidRPr="00AE4E6A">
          <w:rPr>
            <w:rFonts w:ascii="Times New Roman" w:eastAsia="Times New Roman" w:hAnsi="Times New Roman" w:cs="Times New Roman"/>
            <w:color w:val="0000FF"/>
            <w:sz w:val="24"/>
            <w:szCs w:val="24"/>
            <w:u w:val="single"/>
            <w:lang w:eastAsia="uk-UA"/>
          </w:rPr>
          <w:t>формулами 5</w:t>
        </w:r>
      </w:hyperlink>
      <w:r w:rsidRPr="00AE4E6A">
        <w:rPr>
          <w:rFonts w:ascii="Times New Roman" w:eastAsia="Times New Roman" w:hAnsi="Times New Roman" w:cs="Times New Roman"/>
          <w:color w:val="333333"/>
          <w:sz w:val="24"/>
          <w:szCs w:val="24"/>
          <w:lang w:eastAsia="uk-UA"/>
        </w:rPr>
        <w:t> та </w:t>
      </w:r>
      <w:hyperlink r:id="rId32" w:anchor="n293" w:history="1">
        <w:r w:rsidRPr="00AE4E6A">
          <w:rPr>
            <w:rFonts w:ascii="Times New Roman" w:eastAsia="Times New Roman" w:hAnsi="Times New Roman" w:cs="Times New Roman"/>
            <w:color w:val="0000FF"/>
            <w:sz w:val="24"/>
            <w:szCs w:val="24"/>
            <w:u w:val="single"/>
            <w:lang w:eastAsia="uk-UA"/>
          </w:rPr>
          <w:t>14</w:t>
        </w:r>
      </w:hyperlink>
      <w:r w:rsidRPr="00AE4E6A">
        <w:rPr>
          <w:rFonts w:ascii="Times New Roman" w:eastAsia="Times New Roman" w:hAnsi="Times New Roman" w:cs="Times New Roman"/>
          <w:color w:val="333333"/>
          <w:sz w:val="24"/>
          <w:szCs w:val="24"/>
          <w:lang w:eastAsia="uk-UA"/>
        </w:rPr>
        <w:t> цієї Методики.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76"/>
      <w:bookmarkEnd w:id="36"/>
      <w:r w:rsidRPr="00AE4E6A">
        <w:rPr>
          <w:rFonts w:ascii="Times New Roman" w:eastAsia="Times New Roman" w:hAnsi="Times New Roman" w:cs="Times New Roman"/>
          <w:color w:val="333333"/>
          <w:sz w:val="24"/>
          <w:szCs w:val="24"/>
          <w:lang w:eastAsia="uk-UA"/>
        </w:rPr>
        <w:t xml:space="preserve">Оператор системи передачі та оператори систем розподілу надають до НКРЕКП документи (їх копії) та інформацію (дані, відомості, звітність, </w:t>
      </w:r>
      <w:proofErr w:type="spellStart"/>
      <w:r w:rsidRPr="00AE4E6A">
        <w:rPr>
          <w:rFonts w:ascii="Times New Roman" w:eastAsia="Times New Roman" w:hAnsi="Times New Roman" w:cs="Times New Roman"/>
          <w:color w:val="333333"/>
          <w:sz w:val="24"/>
          <w:szCs w:val="24"/>
          <w:lang w:eastAsia="uk-UA"/>
        </w:rPr>
        <w:t>проєктну</w:t>
      </w:r>
      <w:proofErr w:type="spellEnd"/>
      <w:r w:rsidRPr="00AE4E6A">
        <w:rPr>
          <w:rFonts w:ascii="Times New Roman" w:eastAsia="Times New Roman" w:hAnsi="Times New Roman" w:cs="Times New Roman"/>
          <w:color w:val="333333"/>
          <w:sz w:val="24"/>
          <w:szCs w:val="24"/>
          <w:lang w:eastAsia="uk-UA"/>
        </w:rPr>
        <w:t xml:space="preserve"> документацію, виконавчу документацію тощо) щодо наданих у базовому періоді послуг з приєднання електроустановок замовників до електричних мереж (завершених приєднань) у вигляді, обсягах та у строки, встановлені НКРЕКП, для подальшого аналізу величини дефіциту або профіциту коштів щодо надходжень та витрат, пов'язаних з наданням послуг з приєднання, з метою оцінки обґрунтованості їх економічного рівня.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77"/>
      <w:bookmarkEnd w:id="37"/>
      <w:r w:rsidRPr="00AE4E6A">
        <w:rPr>
          <w:rFonts w:ascii="Times New Roman" w:eastAsia="Times New Roman" w:hAnsi="Times New Roman" w:cs="Times New Roman"/>
          <w:color w:val="333333"/>
          <w:sz w:val="24"/>
          <w:szCs w:val="24"/>
          <w:lang w:eastAsia="uk-UA"/>
        </w:rPr>
        <w:t>Оператор системи передачі та оператори систем розподілу відповідають за достовірність даних, зазначених ними у формах звітності та в документах.</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78"/>
      <w:bookmarkEnd w:id="38"/>
      <w:r w:rsidRPr="00AE4E6A">
        <w:rPr>
          <w:rFonts w:ascii="Times New Roman" w:eastAsia="Times New Roman" w:hAnsi="Times New Roman" w:cs="Times New Roman"/>
          <w:color w:val="333333"/>
          <w:sz w:val="24"/>
          <w:szCs w:val="24"/>
          <w:lang w:eastAsia="uk-UA"/>
        </w:rPr>
        <w:t>Оператори систем розподілу та оператор системи передачі мають право надавати скориговані дані, зазначені ними у формах звітності та в інформації, передбаченій у цьому пункті, виключно після проведення НКРЕКП відповідного заходу державного контролю. В інших випадках НКРЕКП не приймає до розгляду скориговані дані, надані операторами систем розподілу та оператором системи передачі.</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 w:name="n379"/>
      <w:bookmarkEnd w:id="39"/>
      <w:r w:rsidRPr="00AE4E6A">
        <w:rPr>
          <w:rFonts w:ascii="Times New Roman" w:eastAsia="Times New Roman" w:hAnsi="Times New Roman" w:cs="Times New Roman"/>
          <w:i/>
          <w:iCs/>
          <w:color w:val="333333"/>
          <w:sz w:val="24"/>
          <w:szCs w:val="24"/>
          <w:shd w:val="clear" w:color="auto" w:fill="FFFFFF"/>
          <w:lang w:eastAsia="uk-UA"/>
        </w:rPr>
        <w:t>{Пункт 1.5 глави 1 в редакції Постанови Національної комісії, що здійснює державне регулювання у сферах енергетики та комунальних послуг </w:t>
      </w:r>
      <w:hyperlink r:id="rId33" w:anchor="n14"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206"/>
      <w:bookmarkEnd w:id="40"/>
      <w:r w:rsidRPr="00AE4E6A">
        <w:rPr>
          <w:rFonts w:ascii="Times New Roman" w:eastAsia="Times New Roman" w:hAnsi="Times New Roman" w:cs="Times New Roman"/>
          <w:color w:val="333333"/>
          <w:sz w:val="24"/>
          <w:szCs w:val="24"/>
          <w:lang w:eastAsia="uk-UA"/>
        </w:rPr>
        <w:t>1.6. Плата за приєднання може бути одним із джерел фінансування, передбачених інвестиційною програмою оператора системи передачі або оператора системи розподілу, заходів з розвитку електричних мереж.</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207"/>
      <w:bookmarkEnd w:id="41"/>
      <w:r w:rsidRPr="00AE4E6A">
        <w:rPr>
          <w:rFonts w:ascii="Times New Roman" w:eastAsia="Times New Roman" w:hAnsi="Times New Roman" w:cs="Times New Roman"/>
          <w:color w:val="333333"/>
          <w:sz w:val="24"/>
          <w:szCs w:val="24"/>
          <w:lang w:eastAsia="uk-UA"/>
        </w:rPr>
        <w:t>Розвиток електричних мереж оператора системи передачі або оператора системи розподілу, що пов'язаний з наданням послуг з приєднання, має узгоджуватись з планами комплексної забудови відповідної території.</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208"/>
      <w:bookmarkEnd w:id="42"/>
      <w:r w:rsidRPr="00AE4E6A">
        <w:rPr>
          <w:rFonts w:ascii="Times New Roman" w:eastAsia="Times New Roman" w:hAnsi="Times New Roman" w:cs="Times New Roman"/>
          <w:color w:val="333333"/>
          <w:sz w:val="24"/>
          <w:szCs w:val="24"/>
          <w:lang w:eastAsia="uk-UA"/>
        </w:rPr>
        <w:t>Закупівля робіт, товарів та послуг, необхідних для надання послуг з приєднання (будівництво, реконструкція та/або технічне переоснащення об'єктів електроенергетики (до точки приєднання електроустановок замовника)), здійснюється оператором системи передачі або оператором системи розподілу на конкурентних засадах в установленому законодавством порядку.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209"/>
      <w:bookmarkEnd w:id="43"/>
      <w:r w:rsidRPr="00AE4E6A">
        <w:rPr>
          <w:rFonts w:ascii="Times New Roman" w:eastAsia="Times New Roman" w:hAnsi="Times New Roman" w:cs="Times New Roman"/>
          <w:color w:val="333333"/>
          <w:sz w:val="24"/>
          <w:szCs w:val="24"/>
          <w:lang w:eastAsia="uk-UA"/>
        </w:rPr>
        <w:t>1.7. Облік доходів та витрат з приєднання електроустановок замовників здійснюється окремо за кожним приєднанням. Кошти, отримані оператором системи передачі або оператором системи розподілу як плата за приєднання, обліковуються на окремому поточному рахунку та використовуються для розвитку електричних мереж з метою приєднання електроустановок замовників та за іншими напрямками, узгодженими з НКРЕКП.</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210"/>
      <w:bookmarkEnd w:id="44"/>
      <w:r w:rsidRPr="00AE4E6A">
        <w:rPr>
          <w:rFonts w:ascii="Times New Roman" w:eastAsia="Times New Roman" w:hAnsi="Times New Roman" w:cs="Times New Roman"/>
          <w:color w:val="333333"/>
          <w:sz w:val="24"/>
          <w:szCs w:val="24"/>
          <w:lang w:eastAsia="uk-UA"/>
        </w:rPr>
        <w:lastRenderedPageBreak/>
        <w:t>1.8. Плата за стандартне приєднання розраховується згідно з </w:t>
      </w:r>
      <w:hyperlink r:id="rId34" w:anchor="n229" w:history="1">
        <w:r w:rsidRPr="00AE4E6A">
          <w:rPr>
            <w:rFonts w:ascii="Times New Roman" w:eastAsia="Times New Roman" w:hAnsi="Times New Roman" w:cs="Times New Roman"/>
            <w:color w:val="0000FF"/>
            <w:sz w:val="24"/>
            <w:szCs w:val="24"/>
            <w:u w:val="single"/>
            <w:lang w:eastAsia="uk-UA"/>
          </w:rPr>
          <w:t>главою 3</w:t>
        </w:r>
      </w:hyperlink>
      <w:r w:rsidRPr="00AE4E6A">
        <w:rPr>
          <w:rFonts w:ascii="Times New Roman" w:eastAsia="Times New Roman" w:hAnsi="Times New Roman" w:cs="Times New Roman"/>
          <w:color w:val="333333"/>
          <w:sz w:val="24"/>
          <w:szCs w:val="24"/>
          <w:lang w:eastAsia="uk-UA"/>
        </w:rPr>
        <w:t> цієї Методики.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211"/>
      <w:bookmarkEnd w:id="45"/>
      <w:r w:rsidRPr="00AE4E6A">
        <w:rPr>
          <w:rFonts w:ascii="Times New Roman" w:eastAsia="Times New Roman" w:hAnsi="Times New Roman" w:cs="Times New Roman"/>
          <w:color w:val="333333"/>
          <w:sz w:val="24"/>
          <w:szCs w:val="24"/>
          <w:lang w:eastAsia="uk-UA"/>
        </w:rPr>
        <w:t>У випадку приєднання електроустановок замовника за схемою електрозабезпечення І та ІІ категорії надійності електропостачання для визначення відстані, відповідно до якої визначається тип приєднання (стандартне або нестандартне приєднання), приймається сумарна найкоротша відстань по прямій лінії, що сумарно не перевищує 300 метрів від точки приєднання електроустановок замовника до найближчих двох точок в існуючих (діючих) електричних мережах (повітряна лінія, трансформаторна підстанція або розподільний пункт) оператора системи розподілу (ступеня напруги, що відповідає ступеню напруги в точці приєднання), від яких буде забезпечуватись електрозабезпечення електроустановок замовника за І та ІІ категорією надійності електропостачання.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212"/>
      <w:bookmarkEnd w:id="46"/>
      <w:r w:rsidRPr="00AE4E6A">
        <w:rPr>
          <w:rFonts w:ascii="Times New Roman" w:eastAsia="Times New Roman" w:hAnsi="Times New Roman" w:cs="Times New Roman"/>
          <w:color w:val="333333"/>
          <w:sz w:val="24"/>
          <w:szCs w:val="24"/>
          <w:lang w:eastAsia="uk-UA"/>
        </w:rPr>
        <w:t>1.9. Плата за нестандартне приєднання розраховується згідно з </w:t>
      </w:r>
      <w:hyperlink r:id="rId35" w:anchor="n250" w:history="1">
        <w:r w:rsidRPr="00AE4E6A">
          <w:rPr>
            <w:rFonts w:ascii="Times New Roman" w:eastAsia="Times New Roman" w:hAnsi="Times New Roman" w:cs="Times New Roman"/>
            <w:color w:val="0000FF"/>
            <w:sz w:val="24"/>
            <w:szCs w:val="24"/>
            <w:u w:val="single"/>
            <w:lang w:eastAsia="uk-UA"/>
          </w:rPr>
          <w:t>главами 4</w:t>
        </w:r>
      </w:hyperlink>
      <w:r w:rsidRPr="00AE4E6A">
        <w:rPr>
          <w:rFonts w:ascii="Times New Roman" w:eastAsia="Times New Roman" w:hAnsi="Times New Roman" w:cs="Times New Roman"/>
          <w:color w:val="333333"/>
          <w:sz w:val="24"/>
          <w:szCs w:val="24"/>
          <w:lang w:eastAsia="uk-UA"/>
        </w:rPr>
        <w:t> та </w:t>
      </w:r>
      <w:hyperlink r:id="rId36" w:anchor="n267" w:history="1">
        <w:r w:rsidRPr="00AE4E6A">
          <w:rPr>
            <w:rFonts w:ascii="Times New Roman" w:eastAsia="Times New Roman" w:hAnsi="Times New Roman" w:cs="Times New Roman"/>
            <w:color w:val="0000FF"/>
            <w:sz w:val="24"/>
            <w:szCs w:val="24"/>
            <w:u w:val="single"/>
            <w:lang w:eastAsia="uk-UA"/>
          </w:rPr>
          <w:t>5</w:t>
        </w:r>
      </w:hyperlink>
      <w:r w:rsidRPr="00AE4E6A">
        <w:rPr>
          <w:rFonts w:ascii="Times New Roman" w:eastAsia="Times New Roman" w:hAnsi="Times New Roman" w:cs="Times New Roman"/>
          <w:color w:val="333333"/>
          <w:sz w:val="24"/>
          <w:szCs w:val="24"/>
          <w:lang w:eastAsia="uk-UA"/>
        </w:rPr>
        <w:t> цієї Методики.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213"/>
      <w:bookmarkEnd w:id="47"/>
      <w:r w:rsidRPr="00AE4E6A">
        <w:rPr>
          <w:rFonts w:ascii="Times New Roman" w:eastAsia="Times New Roman" w:hAnsi="Times New Roman" w:cs="Times New Roman"/>
          <w:color w:val="333333"/>
          <w:sz w:val="24"/>
          <w:szCs w:val="24"/>
          <w:lang w:eastAsia="uk-UA"/>
        </w:rPr>
        <w:t>У випадку приєднання електроустановок замовника за схемою електрозабезпечення І або ІІ категорії надійності електропостачання для визначення відстані, відповідно до якої здійснюється розрахунок плати за лінійну частину приєднання при нестандартному приєднанні, що здійснюється за процедурою «під ключ», приймається сумарна найкоротша відстань по прямій лінії від точки приєднання електроустановок замовника до найближчих двох точок в існуючих (діючих) електричних мережах (повітряна лінія, трансформаторна підстанція або розподільний пункт) оператора системи розподілу (ступеня напруги, що відповідає ступеню напруги в точці приєднання), від яких буде забезпечуватись електрозабезпечення електроустановок замовника за І або ІІ категорією надійності електропостачання.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214"/>
      <w:bookmarkEnd w:id="48"/>
      <w:r w:rsidRPr="00AE4E6A">
        <w:rPr>
          <w:rFonts w:ascii="Times New Roman" w:eastAsia="Times New Roman" w:hAnsi="Times New Roman" w:cs="Times New Roman"/>
          <w:color w:val="333333"/>
          <w:sz w:val="24"/>
          <w:szCs w:val="24"/>
          <w:lang w:eastAsia="uk-UA"/>
        </w:rPr>
        <w:t>1.10. Плата та ставки за стандартне та нестандартне приєднання розраховується за цією Методикою без урахування ПДВ.</w:t>
      </w:r>
    </w:p>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9" w:name="n215"/>
      <w:bookmarkEnd w:id="49"/>
      <w:r w:rsidRPr="00AE4E6A">
        <w:rPr>
          <w:rFonts w:ascii="Times New Roman" w:eastAsia="Times New Roman" w:hAnsi="Times New Roman" w:cs="Times New Roman"/>
          <w:b/>
          <w:bCs/>
          <w:color w:val="333333"/>
          <w:sz w:val="28"/>
          <w:szCs w:val="28"/>
          <w:lang w:eastAsia="uk-UA"/>
        </w:rPr>
        <w:t>2. Вартість приєднання електроустановок до електричних мереж</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216"/>
      <w:bookmarkEnd w:id="50"/>
      <w:r w:rsidRPr="00AE4E6A">
        <w:rPr>
          <w:rFonts w:ascii="Times New Roman" w:eastAsia="Times New Roman" w:hAnsi="Times New Roman" w:cs="Times New Roman"/>
          <w:color w:val="333333"/>
          <w:sz w:val="24"/>
          <w:szCs w:val="24"/>
          <w:lang w:eastAsia="uk-UA"/>
        </w:rPr>
        <w:t>2.1. Вартість приєднання електроустановок до електричних мереж оператора системи передачі та оператора системи розподілу складається з фактичних капітальних витрат.</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217"/>
      <w:bookmarkEnd w:id="51"/>
      <w:r w:rsidRPr="00AE4E6A">
        <w:rPr>
          <w:rFonts w:ascii="Times New Roman" w:eastAsia="Times New Roman" w:hAnsi="Times New Roman" w:cs="Times New Roman"/>
          <w:color w:val="333333"/>
          <w:sz w:val="24"/>
          <w:szCs w:val="24"/>
          <w:lang w:eastAsia="uk-UA"/>
        </w:rPr>
        <w:t>2.2. До фактичних капітальних витрат належать:</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218"/>
      <w:bookmarkEnd w:id="52"/>
      <w:r w:rsidRPr="00AE4E6A">
        <w:rPr>
          <w:rFonts w:ascii="Times New Roman" w:eastAsia="Times New Roman" w:hAnsi="Times New Roman" w:cs="Times New Roman"/>
          <w:color w:val="333333"/>
          <w:sz w:val="24"/>
          <w:szCs w:val="24"/>
          <w:lang w:eastAsia="uk-UA"/>
        </w:rPr>
        <w:t xml:space="preserve">розроблення та узгодження з іншими заінтересованими сторонами </w:t>
      </w:r>
      <w:proofErr w:type="spellStart"/>
      <w:r w:rsidRPr="00AE4E6A">
        <w:rPr>
          <w:rFonts w:ascii="Times New Roman" w:eastAsia="Times New Roman" w:hAnsi="Times New Roman" w:cs="Times New Roman"/>
          <w:color w:val="333333"/>
          <w:sz w:val="24"/>
          <w:szCs w:val="24"/>
          <w:lang w:eastAsia="uk-UA"/>
        </w:rPr>
        <w:t>проєктної</w:t>
      </w:r>
      <w:proofErr w:type="spellEnd"/>
      <w:r w:rsidRPr="00AE4E6A">
        <w:rPr>
          <w:rFonts w:ascii="Times New Roman" w:eastAsia="Times New Roman" w:hAnsi="Times New Roman" w:cs="Times New Roman"/>
          <w:color w:val="333333"/>
          <w:sz w:val="24"/>
          <w:szCs w:val="24"/>
          <w:lang w:eastAsia="uk-UA"/>
        </w:rPr>
        <w:t xml:space="preserve">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219"/>
      <w:bookmarkEnd w:id="53"/>
      <w:r w:rsidRPr="00AE4E6A">
        <w:rPr>
          <w:rFonts w:ascii="Times New Roman" w:eastAsia="Times New Roman" w:hAnsi="Times New Roman" w:cs="Times New Roman"/>
          <w:color w:val="333333"/>
          <w:sz w:val="24"/>
          <w:szCs w:val="24"/>
          <w:lang w:eastAsia="uk-UA"/>
        </w:rPr>
        <w:t>здійснення заходів щодо відведення земельних ділянок для розміщення об'єктів електроенергетики;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220"/>
      <w:bookmarkEnd w:id="54"/>
      <w:r w:rsidRPr="00AE4E6A">
        <w:rPr>
          <w:rFonts w:ascii="Times New Roman" w:eastAsia="Times New Roman" w:hAnsi="Times New Roman" w:cs="Times New Roman"/>
          <w:color w:val="333333"/>
          <w:sz w:val="24"/>
          <w:szCs w:val="24"/>
          <w:lang w:eastAsia="uk-UA"/>
        </w:rPr>
        <w:t xml:space="preserve">експертиза </w:t>
      </w:r>
      <w:proofErr w:type="spellStart"/>
      <w:r w:rsidRPr="00AE4E6A">
        <w:rPr>
          <w:rFonts w:ascii="Times New Roman" w:eastAsia="Times New Roman" w:hAnsi="Times New Roman" w:cs="Times New Roman"/>
          <w:color w:val="333333"/>
          <w:sz w:val="24"/>
          <w:szCs w:val="24"/>
          <w:lang w:eastAsia="uk-UA"/>
        </w:rPr>
        <w:t>проєктів</w:t>
      </w:r>
      <w:proofErr w:type="spellEnd"/>
      <w:r w:rsidRPr="00AE4E6A">
        <w:rPr>
          <w:rFonts w:ascii="Times New Roman" w:eastAsia="Times New Roman" w:hAnsi="Times New Roman" w:cs="Times New Roman"/>
          <w:color w:val="333333"/>
          <w:sz w:val="24"/>
          <w:szCs w:val="24"/>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221"/>
      <w:bookmarkEnd w:id="55"/>
      <w:r w:rsidRPr="00AE4E6A">
        <w:rPr>
          <w:rFonts w:ascii="Times New Roman" w:eastAsia="Times New Roman" w:hAnsi="Times New Roman" w:cs="Times New Roman"/>
          <w:color w:val="333333"/>
          <w:sz w:val="24"/>
          <w:szCs w:val="24"/>
          <w:lang w:eastAsia="uk-UA"/>
        </w:rPr>
        <w:t>будівельно-монтажні (включно з ввідним пристроєм та комутаційним ввідним апаратом (комутаційними ввідними апаратами)) та пусконалагоджувальні роботи.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222"/>
      <w:bookmarkEnd w:id="56"/>
      <w:r w:rsidRPr="00AE4E6A">
        <w:rPr>
          <w:rFonts w:ascii="Times New Roman" w:eastAsia="Times New Roman" w:hAnsi="Times New Roman" w:cs="Times New Roman"/>
          <w:color w:val="333333"/>
          <w:sz w:val="24"/>
          <w:szCs w:val="24"/>
          <w:lang w:eastAsia="uk-UA"/>
        </w:rPr>
        <w:t xml:space="preserve">2.3. Вартість </w:t>
      </w:r>
      <w:proofErr w:type="spellStart"/>
      <w:r w:rsidRPr="00AE4E6A">
        <w:rPr>
          <w:rFonts w:ascii="Times New Roman" w:eastAsia="Times New Roman" w:hAnsi="Times New Roman" w:cs="Times New Roman"/>
          <w:color w:val="333333"/>
          <w:sz w:val="24"/>
          <w:szCs w:val="24"/>
          <w:lang w:eastAsia="uk-UA"/>
        </w:rPr>
        <w:t>проєктної</w:t>
      </w:r>
      <w:proofErr w:type="spellEnd"/>
      <w:r w:rsidRPr="00AE4E6A">
        <w:rPr>
          <w:rFonts w:ascii="Times New Roman" w:eastAsia="Times New Roman" w:hAnsi="Times New Roman" w:cs="Times New Roman"/>
          <w:color w:val="333333"/>
          <w:sz w:val="24"/>
          <w:szCs w:val="24"/>
          <w:lang w:eastAsia="uk-UA"/>
        </w:rPr>
        <w:t xml:space="preserve"> документації визначається на підставі актів виконаних робіт, що складені відповідно до вимог </w:t>
      </w:r>
      <w:hyperlink r:id="rId37" w:anchor="n5" w:tgtFrame="_blank" w:history="1">
        <w:r w:rsidRPr="00AE4E6A">
          <w:rPr>
            <w:rFonts w:ascii="Times New Roman" w:eastAsia="Times New Roman" w:hAnsi="Times New Roman" w:cs="Times New Roman"/>
            <w:color w:val="0000FF"/>
            <w:sz w:val="24"/>
            <w:szCs w:val="24"/>
            <w:u w:val="single"/>
            <w:lang w:eastAsia="uk-UA"/>
          </w:rPr>
          <w:t>ДСТУ Б Д.1.1-7:2013</w:t>
        </w:r>
      </w:hyperlink>
      <w:r w:rsidRPr="00AE4E6A">
        <w:rPr>
          <w:rFonts w:ascii="Times New Roman" w:eastAsia="Times New Roman" w:hAnsi="Times New Roman" w:cs="Times New Roman"/>
          <w:color w:val="333333"/>
          <w:sz w:val="24"/>
          <w:szCs w:val="24"/>
          <w:lang w:eastAsia="uk-UA"/>
        </w:rPr>
        <w:t xml:space="preserve"> «Правила визначення вартості </w:t>
      </w:r>
      <w:proofErr w:type="spellStart"/>
      <w:r w:rsidRPr="00AE4E6A">
        <w:rPr>
          <w:rFonts w:ascii="Times New Roman" w:eastAsia="Times New Roman" w:hAnsi="Times New Roman" w:cs="Times New Roman"/>
          <w:color w:val="333333"/>
          <w:sz w:val="24"/>
          <w:szCs w:val="24"/>
          <w:lang w:eastAsia="uk-UA"/>
        </w:rPr>
        <w:t>проєктних</w:t>
      </w:r>
      <w:proofErr w:type="spellEnd"/>
      <w:r w:rsidRPr="00AE4E6A">
        <w:rPr>
          <w:rFonts w:ascii="Times New Roman" w:eastAsia="Times New Roman" w:hAnsi="Times New Roman" w:cs="Times New Roman"/>
          <w:color w:val="333333"/>
          <w:sz w:val="24"/>
          <w:szCs w:val="24"/>
          <w:lang w:eastAsia="uk-UA"/>
        </w:rPr>
        <w:t xml:space="preserve"> робіт та експертизи </w:t>
      </w:r>
      <w:proofErr w:type="spellStart"/>
      <w:r w:rsidRPr="00AE4E6A">
        <w:rPr>
          <w:rFonts w:ascii="Times New Roman" w:eastAsia="Times New Roman" w:hAnsi="Times New Roman" w:cs="Times New Roman"/>
          <w:color w:val="333333"/>
          <w:sz w:val="24"/>
          <w:szCs w:val="24"/>
          <w:lang w:eastAsia="uk-UA"/>
        </w:rPr>
        <w:t>проєктів</w:t>
      </w:r>
      <w:proofErr w:type="spellEnd"/>
      <w:r w:rsidRPr="00AE4E6A">
        <w:rPr>
          <w:rFonts w:ascii="Times New Roman" w:eastAsia="Times New Roman" w:hAnsi="Times New Roman" w:cs="Times New Roman"/>
          <w:color w:val="333333"/>
          <w:sz w:val="24"/>
          <w:szCs w:val="24"/>
          <w:lang w:eastAsia="uk-UA"/>
        </w:rPr>
        <w:t xml:space="preserve"> будівництва».</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223"/>
      <w:bookmarkEnd w:id="57"/>
      <w:r w:rsidRPr="00AE4E6A">
        <w:rPr>
          <w:rFonts w:ascii="Times New Roman" w:eastAsia="Times New Roman" w:hAnsi="Times New Roman" w:cs="Times New Roman"/>
          <w:color w:val="333333"/>
          <w:sz w:val="24"/>
          <w:szCs w:val="24"/>
          <w:lang w:eastAsia="uk-UA"/>
        </w:rPr>
        <w:t>2.4. Вартість здійснення заходів щодо відведення земельних ділянок для розміщення об'єктів енергетики визначається на підставі актів виконаних робіт, пов'язаних з відведенням земельних ділянок, та включає:</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224"/>
      <w:bookmarkEnd w:id="58"/>
      <w:r w:rsidRPr="00AE4E6A">
        <w:rPr>
          <w:rFonts w:ascii="Times New Roman" w:eastAsia="Times New Roman" w:hAnsi="Times New Roman" w:cs="Times New Roman"/>
          <w:color w:val="333333"/>
          <w:sz w:val="24"/>
          <w:szCs w:val="24"/>
          <w:lang w:eastAsia="uk-UA"/>
        </w:rPr>
        <w:t xml:space="preserve">витрати на розробку </w:t>
      </w:r>
      <w:proofErr w:type="spellStart"/>
      <w:r w:rsidRPr="00AE4E6A">
        <w:rPr>
          <w:rFonts w:ascii="Times New Roman" w:eastAsia="Times New Roman" w:hAnsi="Times New Roman" w:cs="Times New Roman"/>
          <w:color w:val="333333"/>
          <w:sz w:val="24"/>
          <w:szCs w:val="24"/>
          <w:lang w:eastAsia="uk-UA"/>
        </w:rPr>
        <w:t>проєкту</w:t>
      </w:r>
      <w:proofErr w:type="spellEnd"/>
      <w:r w:rsidRPr="00AE4E6A">
        <w:rPr>
          <w:rFonts w:ascii="Times New Roman" w:eastAsia="Times New Roman" w:hAnsi="Times New Roman" w:cs="Times New Roman"/>
          <w:color w:val="333333"/>
          <w:sz w:val="24"/>
          <w:szCs w:val="24"/>
          <w:lang w:eastAsia="uk-UA"/>
        </w:rPr>
        <w:t xml:space="preserve"> землеустрою;</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225"/>
      <w:bookmarkEnd w:id="59"/>
      <w:r w:rsidRPr="00AE4E6A">
        <w:rPr>
          <w:rFonts w:ascii="Times New Roman" w:eastAsia="Times New Roman" w:hAnsi="Times New Roman" w:cs="Times New Roman"/>
          <w:color w:val="333333"/>
          <w:sz w:val="24"/>
          <w:szCs w:val="24"/>
          <w:lang w:eastAsia="uk-UA"/>
        </w:rPr>
        <w:lastRenderedPageBreak/>
        <w:t>інші документально підтвердженні платежі, вимога щодо оплати яких визначена законодавством.</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226"/>
      <w:bookmarkEnd w:id="60"/>
      <w:r w:rsidRPr="00AE4E6A">
        <w:rPr>
          <w:rFonts w:ascii="Times New Roman" w:eastAsia="Times New Roman" w:hAnsi="Times New Roman" w:cs="Times New Roman"/>
          <w:color w:val="333333"/>
          <w:sz w:val="24"/>
          <w:szCs w:val="24"/>
          <w:lang w:eastAsia="uk-UA"/>
        </w:rPr>
        <w:t>2.5. Вартість будівельно-монтажних та пусконалагоджувальних робіт визначається з урахуванням:</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227"/>
      <w:bookmarkEnd w:id="61"/>
      <w:r w:rsidRPr="00AE4E6A">
        <w:rPr>
          <w:rFonts w:ascii="Times New Roman" w:eastAsia="Times New Roman" w:hAnsi="Times New Roman" w:cs="Times New Roman"/>
          <w:color w:val="333333"/>
          <w:sz w:val="24"/>
          <w:szCs w:val="24"/>
          <w:lang w:eastAsia="uk-UA"/>
        </w:rPr>
        <w:t>при виконанні робіт господарським способом використовуються норми часу на виконання робіт працівниками згідно з ДСТУ Б Д.1.1-1:2013 «Правила визначення вартості будівництва» з урахуванням фактичної заробітної плати персоналу оператора системи передачі або розподілу;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228"/>
      <w:bookmarkEnd w:id="62"/>
      <w:r w:rsidRPr="00AE4E6A">
        <w:rPr>
          <w:rFonts w:ascii="Times New Roman" w:eastAsia="Times New Roman" w:hAnsi="Times New Roman" w:cs="Times New Roman"/>
          <w:color w:val="333333"/>
          <w:sz w:val="24"/>
          <w:szCs w:val="24"/>
          <w:lang w:eastAsia="uk-UA"/>
        </w:rPr>
        <w:t>при виконанні робіт підрядним способом використовується ДСТУ Б Д.1.1-1:2013 «Правила визначення вартості будівництва» та </w:t>
      </w:r>
      <w:hyperlink r:id="rId38" w:anchor="n13" w:tgtFrame="_blank" w:history="1">
        <w:r w:rsidRPr="00AE4E6A">
          <w:rPr>
            <w:rFonts w:ascii="Times New Roman" w:eastAsia="Times New Roman" w:hAnsi="Times New Roman" w:cs="Times New Roman"/>
            <w:color w:val="0000FF"/>
            <w:sz w:val="24"/>
            <w:szCs w:val="24"/>
            <w:u w:val="single"/>
            <w:lang w:eastAsia="uk-UA"/>
          </w:rPr>
          <w:t>Порядок розрахунку розміру кошторисної заробітної плати, який враховується при визначенні вартості будівництва об'єктів</w:t>
        </w:r>
      </w:hyperlink>
      <w:r w:rsidRPr="00AE4E6A">
        <w:rPr>
          <w:rFonts w:ascii="Times New Roman" w:eastAsia="Times New Roman" w:hAnsi="Times New Roman" w:cs="Times New Roman"/>
          <w:color w:val="333333"/>
          <w:sz w:val="24"/>
          <w:szCs w:val="24"/>
          <w:lang w:eastAsia="uk-UA"/>
        </w:rPr>
        <w:t>, затверджений наказом Міністерства регіонального розвитку, будівництва та житлово-комунального господарства України від 20 жовтня 2016 року № 281 та зареєстрований у Міністерстві юстиції України 11 листопада 2016 року за № 1469/29599, виходячи з фактично виконаних обсягів робіт і вартості фактично використаних матеріалів.</w:t>
      </w:r>
    </w:p>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3" w:name="n229"/>
      <w:bookmarkEnd w:id="63"/>
      <w:r w:rsidRPr="00AE4E6A">
        <w:rPr>
          <w:rFonts w:ascii="Times New Roman" w:eastAsia="Times New Roman" w:hAnsi="Times New Roman" w:cs="Times New Roman"/>
          <w:b/>
          <w:bCs/>
          <w:color w:val="333333"/>
          <w:sz w:val="28"/>
          <w:szCs w:val="28"/>
          <w:lang w:eastAsia="uk-UA"/>
        </w:rPr>
        <w:t>3. Плата за стандартне приєднання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230"/>
      <w:bookmarkEnd w:id="64"/>
      <w:r w:rsidRPr="00AE4E6A">
        <w:rPr>
          <w:rFonts w:ascii="Times New Roman" w:eastAsia="Times New Roman" w:hAnsi="Times New Roman" w:cs="Times New Roman"/>
          <w:color w:val="333333"/>
          <w:sz w:val="24"/>
          <w:szCs w:val="24"/>
          <w:lang w:eastAsia="uk-UA"/>
        </w:rPr>
        <w:t>3.1. Плата за стандартне приєднання </w:t>
      </w:r>
      <w:proofErr w:type="spellStart"/>
      <w:r w:rsidRPr="00AE4E6A">
        <w:rPr>
          <w:rFonts w:ascii="Times New Roman" w:eastAsia="Times New Roman" w:hAnsi="Times New Roman" w:cs="Times New Roman"/>
          <w:b/>
          <w:bCs/>
          <w:color w:val="333333"/>
          <w:sz w:val="24"/>
          <w:szCs w:val="24"/>
          <w:lang w:eastAsia="uk-UA"/>
        </w:rPr>
        <w:t>П</w:t>
      </w:r>
      <w:r w:rsidRPr="00AE4E6A">
        <w:rPr>
          <w:rFonts w:ascii="Times New Roman" w:eastAsia="Times New Roman" w:hAnsi="Times New Roman" w:cs="Times New Roman"/>
          <w:b/>
          <w:bCs/>
          <w:color w:val="333333"/>
          <w:sz w:val="16"/>
          <w:szCs w:val="16"/>
          <w:vertAlign w:val="subscript"/>
          <w:lang w:eastAsia="uk-UA"/>
        </w:rPr>
        <w:t>ст</w:t>
      </w:r>
      <w:proofErr w:type="spellEnd"/>
      <w:r w:rsidRPr="00AE4E6A">
        <w:rPr>
          <w:rFonts w:ascii="Times New Roman" w:eastAsia="Times New Roman" w:hAnsi="Times New Roman" w:cs="Times New Roman"/>
          <w:color w:val="333333"/>
          <w:sz w:val="24"/>
          <w:szCs w:val="24"/>
          <w:lang w:eastAsia="uk-UA"/>
        </w:rPr>
        <w:t> розраховується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419"/>
        <w:gridCol w:w="1274"/>
        <w:gridCol w:w="135"/>
        <w:gridCol w:w="6936"/>
        <w:gridCol w:w="585"/>
      </w:tblGrid>
      <w:tr w:rsidR="00AE4E6A" w:rsidRPr="00AE4E6A" w:rsidTr="00AE4E6A">
        <w:tc>
          <w:tcPr>
            <w:tcW w:w="8775"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lang w:eastAsia="uk-UA"/>
              </w:rPr>
            </w:pPr>
            <w:bookmarkStart w:id="65" w:name="n231"/>
            <w:bookmarkEnd w:id="65"/>
          </w:p>
        </w:tc>
        <w:tc>
          <w:tcPr>
            <w:tcW w:w="1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w:t>
            </w:r>
          </w:p>
        </w:tc>
      </w:tr>
      <w:tr w:rsidR="00AE4E6A" w:rsidRPr="00AE4E6A" w:rsidTr="00AE4E6A">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66" w:name="n232"/>
            <w:bookmarkEnd w:id="66"/>
            <w:r w:rsidRPr="00AE4E6A">
              <w:rPr>
                <w:rFonts w:ascii="Times New Roman" w:eastAsia="Times New Roman" w:hAnsi="Times New Roman" w:cs="Times New Roman"/>
                <w:sz w:val="24"/>
                <w:szCs w:val="24"/>
                <w:lang w:eastAsia="uk-UA"/>
              </w:rPr>
              <w:t>де</w:t>
            </w:r>
          </w:p>
        </w:tc>
        <w:tc>
          <w:tcPr>
            <w:tcW w:w="12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Р</w:t>
            </w:r>
            <w:r w:rsidRPr="00AE4E6A">
              <w:rPr>
                <w:rFonts w:ascii="Times New Roman" w:eastAsia="Times New Roman" w:hAnsi="Times New Roman" w:cs="Times New Roman"/>
                <w:sz w:val="16"/>
                <w:szCs w:val="16"/>
                <w:lang w:eastAsia="uk-UA"/>
              </w:rPr>
              <w:t> </w:t>
            </w:r>
            <w:proofErr w:type="spellStart"/>
            <w:r w:rsidRPr="00AE4E6A">
              <w:rPr>
                <w:rFonts w:ascii="Times New Roman" w:eastAsia="Times New Roman" w:hAnsi="Times New Roman" w:cs="Times New Roman"/>
                <w:b/>
                <w:bCs/>
                <w:sz w:val="16"/>
                <w:szCs w:val="16"/>
                <w:vertAlign w:val="subscript"/>
                <w:lang w:eastAsia="uk-UA"/>
              </w:rPr>
              <w:t>замовл</w:t>
            </w:r>
            <w:proofErr w:type="spellEnd"/>
          </w:p>
        </w:tc>
        <w:tc>
          <w:tcPr>
            <w:tcW w:w="1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53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потужність, замовлена до приєднання електроустановок замовника, кВт;</w:t>
            </w:r>
          </w:p>
        </w:tc>
      </w:tr>
      <w:tr w:rsidR="00AE4E6A" w:rsidRPr="00AE4E6A" w:rsidTr="00AE4E6A">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2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53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ставка плати за стандартне приєднання, тис. грн/кВт, яка диференціюється за такими індексами:</w:t>
            </w:r>
          </w:p>
        </w:tc>
      </w:tr>
      <w:tr w:rsidR="00AE4E6A" w:rsidRPr="00AE4E6A" w:rsidTr="00AE4E6A">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2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w:t>
            </w:r>
          </w:p>
        </w:tc>
        <w:tc>
          <w:tcPr>
            <w:tcW w:w="1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53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категорія надійності електропостачання згідно з Правилами улаштування електроустановок (далі - ПУЕ), заявлена замовником;</w:t>
            </w:r>
          </w:p>
        </w:tc>
      </w:tr>
      <w:tr w:rsidR="00AE4E6A" w:rsidRPr="00AE4E6A" w:rsidTr="00AE4E6A">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2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н</w:t>
            </w:r>
          </w:p>
        </w:tc>
        <w:tc>
          <w:tcPr>
            <w:tcW w:w="1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53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індекс рівня напруги в точці приєднання (0,4(0,23); 6(10)20);</w:t>
            </w:r>
          </w:p>
        </w:tc>
      </w:tr>
      <w:tr w:rsidR="00AE4E6A" w:rsidRPr="00AE4E6A" w:rsidTr="00AE4E6A">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2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ф</w:t>
            </w:r>
          </w:p>
        </w:tc>
        <w:tc>
          <w:tcPr>
            <w:tcW w:w="1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53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схема електрозабезпечення (однофазна або трифазна);</w:t>
            </w:r>
          </w:p>
        </w:tc>
      </w:tr>
      <w:tr w:rsidR="00AE4E6A" w:rsidRPr="00AE4E6A" w:rsidTr="00AE4E6A">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2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sz w:val="24"/>
                <w:szCs w:val="24"/>
                <w:lang w:eastAsia="uk-UA"/>
              </w:rPr>
              <w:t>місц</w:t>
            </w:r>
            <w:proofErr w:type="spellEnd"/>
          </w:p>
        </w:tc>
        <w:tc>
          <w:tcPr>
            <w:tcW w:w="1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53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місцезнаходження електроустановок замовника (міська, сільська місцевість).</w:t>
            </w:r>
          </w:p>
        </w:tc>
      </w:tr>
    </w:tbl>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233"/>
      <w:bookmarkEnd w:id="67"/>
      <w:r w:rsidRPr="00AE4E6A">
        <w:rPr>
          <w:rFonts w:ascii="Times New Roman" w:eastAsia="Times New Roman" w:hAnsi="Times New Roman" w:cs="Times New Roman"/>
          <w:color w:val="333333"/>
          <w:sz w:val="24"/>
          <w:szCs w:val="24"/>
          <w:lang w:eastAsia="uk-UA"/>
        </w:rPr>
        <w:t xml:space="preserve">3.2. Ставки плати за стандартне приєднання </w:t>
      </w:r>
      <w:proofErr w:type="spellStart"/>
      <w:r w:rsidRPr="00AE4E6A">
        <w:rPr>
          <w:rFonts w:ascii="Times New Roman" w:eastAsia="Times New Roman" w:hAnsi="Times New Roman" w:cs="Times New Roman"/>
          <w:color w:val="333333"/>
          <w:sz w:val="24"/>
          <w:szCs w:val="24"/>
          <w:lang w:eastAsia="uk-UA"/>
        </w:rPr>
        <w:t>C</w:t>
      </w:r>
      <w:r w:rsidRPr="00AE4E6A">
        <w:rPr>
          <w:rFonts w:ascii="Times New Roman" w:eastAsia="Times New Roman" w:hAnsi="Times New Roman" w:cs="Times New Roman"/>
          <w:b/>
          <w:bCs/>
          <w:color w:val="333333"/>
          <w:sz w:val="16"/>
          <w:szCs w:val="16"/>
          <w:vertAlign w:val="subscript"/>
          <w:lang w:eastAsia="uk-UA"/>
        </w:rPr>
        <w:t>ст</w:t>
      </w:r>
      <w:r w:rsidRPr="00AE4E6A">
        <w:rPr>
          <w:rFonts w:ascii="Times New Roman" w:eastAsia="Times New Roman" w:hAnsi="Times New Roman" w:cs="Times New Roman"/>
          <w:b/>
          <w:bCs/>
          <w:color w:val="333333"/>
          <w:sz w:val="16"/>
          <w:szCs w:val="16"/>
          <w:vertAlign w:val="superscript"/>
          <w:lang w:eastAsia="uk-UA"/>
        </w:rPr>
        <w:t>к.н.ф.місц</w:t>
      </w:r>
      <w:proofErr w:type="spellEnd"/>
      <w:r w:rsidRPr="00AE4E6A">
        <w:rPr>
          <w:rFonts w:ascii="Times New Roman" w:eastAsia="Times New Roman" w:hAnsi="Times New Roman" w:cs="Times New Roman"/>
          <w:color w:val="333333"/>
          <w:sz w:val="24"/>
          <w:szCs w:val="24"/>
          <w:lang w:eastAsia="uk-UA"/>
        </w:rPr>
        <w:t> встановлюються НКРЕКП на розрахунковий період та розраховуються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538"/>
        <w:gridCol w:w="1232"/>
        <w:gridCol w:w="110"/>
        <w:gridCol w:w="6916"/>
        <w:gridCol w:w="553"/>
      </w:tblGrid>
      <w:tr w:rsidR="00AE4E6A" w:rsidRPr="00AE4E6A" w:rsidTr="00AE4E6A">
        <w:tc>
          <w:tcPr>
            <w:tcW w:w="8775"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lang w:eastAsia="uk-UA"/>
              </w:rPr>
            </w:pPr>
            <w:bookmarkStart w:id="68" w:name="n234"/>
            <w:bookmarkEnd w:id="68"/>
          </w:p>
        </w:tc>
        <w:tc>
          <w:tcPr>
            <w:tcW w:w="1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(2)</w:t>
            </w:r>
          </w:p>
        </w:tc>
      </w:tr>
      <w:tr w:rsidR="00AE4E6A" w:rsidRPr="00AE4E6A" w:rsidTr="00AE4E6A">
        <w:tc>
          <w:tcPr>
            <w:tcW w:w="5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69" w:name="n235"/>
            <w:bookmarkEnd w:id="69"/>
            <w:r w:rsidRPr="00AE4E6A">
              <w:rPr>
                <w:rFonts w:ascii="Times New Roman" w:eastAsia="Times New Roman" w:hAnsi="Times New Roman" w:cs="Times New Roman"/>
                <w:sz w:val="24"/>
                <w:szCs w:val="24"/>
                <w:lang w:eastAsia="uk-UA"/>
              </w:rPr>
              <w:t>де</w:t>
            </w:r>
          </w:p>
        </w:tc>
        <w:tc>
          <w:tcPr>
            <w:tcW w:w="124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53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питома вартість приєднання 1 кВт потужності електроустановок замовника, яка розраховується за формулою</w:t>
            </w:r>
          </w:p>
        </w:tc>
      </w:tr>
    </w:tbl>
    <w:p w:rsidR="00AE4E6A" w:rsidRPr="00AE4E6A" w:rsidRDefault="00AE4E6A" w:rsidP="00AE4E6A">
      <w:pPr>
        <w:shd w:val="clear" w:color="auto" w:fill="FFFFFF"/>
        <w:spacing w:after="150" w:line="240" w:lineRule="auto"/>
        <w:rPr>
          <w:rFonts w:ascii="Times New Roman" w:eastAsia="Times New Roman" w:hAnsi="Times New Roman" w:cs="Times New Roman"/>
          <w:vanish/>
          <w:color w:val="333333"/>
          <w:sz w:val="24"/>
          <w:szCs w:val="24"/>
          <w:lang w:eastAsia="uk-UA"/>
        </w:rPr>
      </w:pPr>
      <w:bookmarkStart w:id="70" w:name="n325"/>
      <w:bookmarkEnd w:id="70"/>
    </w:p>
    <w:tbl>
      <w:tblPr>
        <w:tblW w:w="5000" w:type="pct"/>
        <w:tblCellMar>
          <w:left w:w="0" w:type="dxa"/>
          <w:right w:w="0" w:type="dxa"/>
        </w:tblCellMar>
        <w:tblLook w:val="04A0" w:firstRow="1" w:lastRow="0" w:firstColumn="1" w:lastColumn="0" w:noHBand="0" w:noVBand="1"/>
      </w:tblPr>
      <w:tblGrid>
        <w:gridCol w:w="8766"/>
        <w:gridCol w:w="583"/>
      </w:tblGrid>
      <w:tr w:rsidR="00AE4E6A" w:rsidRPr="00AE4E6A" w:rsidTr="00AE4E6A">
        <w:tc>
          <w:tcPr>
            <w:tcW w:w="88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lang w:eastAsia="uk-UA"/>
              </w:rPr>
            </w:pPr>
          </w:p>
        </w:tc>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(3)</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 w:name="n326"/>
      <w:bookmarkEnd w:id="71"/>
      <w:r w:rsidRPr="00AE4E6A">
        <w:rPr>
          <w:rFonts w:ascii="Times New Roman" w:eastAsia="Times New Roman" w:hAnsi="Times New Roman" w:cs="Times New Roman"/>
          <w:i/>
          <w:iCs/>
          <w:color w:val="333333"/>
          <w:sz w:val="24"/>
          <w:szCs w:val="24"/>
          <w:shd w:val="clear" w:color="auto" w:fill="FFFFFF"/>
          <w:lang w:eastAsia="uk-UA"/>
        </w:rPr>
        <w:lastRenderedPageBreak/>
        <w:t>{Абзац четвертий пункту 3.2 глави 3 в редакції Постанови Національної комісії, що здійснює державне регулювання у сферах енергетики та комунальних послуг </w:t>
      </w:r>
      <w:hyperlink r:id="rId39" w:anchor="n27"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tbl>
      <w:tblPr>
        <w:tblW w:w="5000" w:type="pct"/>
        <w:tblCellMar>
          <w:top w:w="15" w:type="dxa"/>
          <w:left w:w="15" w:type="dxa"/>
          <w:bottom w:w="15" w:type="dxa"/>
          <w:right w:w="15" w:type="dxa"/>
        </w:tblCellMar>
        <w:tblLook w:val="04A0" w:firstRow="1" w:lastRow="0" w:firstColumn="1" w:lastColumn="0" w:noHBand="0" w:noVBand="1"/>
      </w:tblPr>
      <w:tblGrid>
        <w:gridCol w:w="433"/>
        <w:gridCol w:w="449"/>
        <w:gridCol w:w="185"/>
        <w:gridCol w:w="4656"/>
        <w:gridCol w:w="3626"/>
      </w:tblGrid>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72" w:name="n237"/>
            <w:bookmarkEnd w:id="72"/>
            <w:r w:rsidRPr="00AE4E6A">
              <w:rPr>
                <w:rFonts w:ascii="Times New Roman" w:eastAsia="Times New Roman" w:hAnsi="Times New Roman" w:cs="Times New Roman"/>
                <w:sz w:val="24"/>
                <w:szCs w:val="24"/>
                <w:lang w:eastAsia="uk-UA"/>
              </w:rPr>
              <w:t>де</w:t>
            </w: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фактичні капітальні витрати (без ПДВ), понесені під час надання послуги за i-те стандартне приєднання (за об'єктами замовників, приєднання яких завершено у базовому періоді) для міської за першим та другим ступенями стандартного приєднання та сільської місцевості за першим та другим ступенями стандартного приєднання, (значення за рядками графи 80 </w:t>
            </w:r>
            <w:hyperlink r:id="rId40" w:anchor="n146" w:history="1">
              <w:r w:rsidRPr="00AE4E6A">
                <w:rPr>
                  <w:rFonts w:ascii="Times New Roman" w:eastAsia="Times New Roman" w:hAnsi="Times New Roman" w:cs="Times New Roman"/>
                  <w:color w:val="0000FF"/>
                  <w:sz w:val="24"/>
                  <w:szCs w:val="24"/>
                  <w:u w:val="single"/>
                  <w:lang w:eastAsia="uk-UA"/>
                </w:rPr>
                <w:t>додатка 1</w:t>
              </w:r>
            </w:hyperlink>
            <w:r w:rsidRPr="00AE4E6A">
              <w:rPr>
                <w:rFonts w:ascii="Times New Roman" w:eastAsia="Times New Roman" w:hAnsi="Times New Roman" w:cs="Times New Roman"/>
                <w:sz w:val="24"/>
                <w:szCs w:val="24"/>
                <w:lang w:eastAsia="uk-UA"/>
              </w:rPr>
              <w:t> до цієї Методики), тис. грн (без ПДВ);</w:t>
            </w:r>
          </w:p>
        </w:tc>
      </w:tr>
      <w:tr w:rsidR="00AE4E6A" w:rsidRPr="00AE4E6A" w:rsidTr="00AE4E6A">
        <w:tc>
          <w:tcPr>
            <w:tcW w:w="2062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п'ятий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 w:anchor="n31"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фактичні капітальні витрати (без ПДВ), понесені під час надання послуги за i-те стандартне приєднання, за яким здійснювалось улаштування розвантажувальних трансформаторних пунктів, окрім трансформаторних пунктів, які забезпечують покриття дефіциту потужності виключно для потреб замовника приєднання, для міської місцевості за першим та другим ступенями стандартного приєднання та сільської місцевості за першим та другим ступенями стандартного приєднання (за об'єктами замовників, приєднання яких завершено у базовому періоді), тис. грн (без ПДВ);</w:t>
            </w:r>
          </w:p>
        </w:tc>
      </w:tr>
      <w:tr w:rsidR="00AE4E6A" w:rsidRPr="00AE4E6A" w:rsidTr="00AE4E6A">
        <w:tc>
          <w:tcPr>
            <w:tcW w:w="2062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{Пункт 3.2 глави 3 доповнено новим абзацом шостим згідно з Постановою Національної комісії, що здійснює державне регулювання у сферах енергетики та комунальних послуг </w:t>
            </w:r>
            <w:hyperlink r:id="rId42" w:anchor="n32"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величина замовленої до приєднання потужності i-того стандартного приєднання (за об'єктами замовників, приєднання яких завершено у базовому періоді) для міської та сільської місцевості за першим та другим ступенями стандартного приєднання, (значення відповідних рядків графи 12 </w:t>
            </w:r>
            <w:hyperlink r:id="rId43" w:anchor="n146" w:history="1">
              <w:r w:rsidRPr="00AE4E6A">
                <w:rPr>
                  <w:rFonts w:ascii="Times New Roman" w:eastAsia="Times New Roman" w:hAnsi="Times New Roman" w:cs="Times New Roman"/>
                  <w:color w:val="0000FF"/>
                  <w:sz w:val="24"/>
                  <w:szCs w:val="24"/>
                  <w:u w:val="single"/>
                  <w:lang w:eastAsia="uk-UA"/>
                </w:rPr>
                <w:t>додатка 1</w:t>
              </w:r>
            </w:hyperlink>
            <w:r w:rsidRPr="00AE4E6A">
              <w:rPr>
                <w:rFonts w:ascii="Times New Roman" w:eastAsia="Times New Roman" w:hAnsi="Times New Roman" w:cs="Times New Roman"/>
                <w:sz w:val="24"/>
                <w:szCs w:val="24"/>
                <w:lang w:eastAsia="uk-UA"/>
              </w:rPr>
              <w:t> до цієї Методики) крім приєднань, зазначених у </w:t>
            </w:r>
            <w:hyperlink r:id="rId44" w:anchor="n320" w:history="1">
              <w:r w:rsidRPr="00AE4E6A">
                <w:rPr>
                  <w:rFonts w:ascii="Times New Roman" w:eastAsia="Times New Roman" w:hAnsi="Times New Roman" w:cs="Times New Roman"/>
                  <w:color w:val="0000FF"/>
                  <w:sz w:val="24"/>
                  <w:szCs w:val="24"/>
                  <w:u w:val="single"/>
                  <w:lang w:eastAsia="uk-UA"/>
                </w:rPr>
                <w:t>пункті 1.4</w:t>
              </w:r>
            </w:hyperlink>
            <w:r w:rsidRPr="00AE4E6A">
              <w:rPr>
                <w:rFonts w:ascii="Times New Roman" w:eastAsia="Times New Roman" w:hAnsi="Times New Roman" w:cs="Times New Roman"/>
                <w:sz w:val="24"/>
                <w:szCs w:val="24"/>
                <w:lang w:eastAsia="uk-UA"/>
              </w:rPr>
              <w:t> глави 1 цієї Методики, кВт;</w:t>
            </w:r>
          </w:p>
        </w:tc>
      </w:tr>
      <w:tr w:rsidR="00AE4E6A" w:rsidRPr="00AE4E6A" w:rsidTr="00AE4E6A">
        <w:tc>
          <w:tcPr>
            <w:tcW w:w="2062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сьомий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 w:anchor="n37"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b/>
                <w:bCs/>
                <w:sz w:val="24"/>
                <w:szCs w:val="24"/>
                <w:lang w:eastAsia="uk-UA"/>
              </w:rPr>
              <w:t>К</w:t>
            </w:r>
            <w:r w:rsidRPr="00AE4E6A">
              <w:rPr>
                <w:rFonts w:ascii="Times New Roman" w:eastAsia="Times New Roman" w:hAnsi="Times New Roman" w:cs="Times New Roman"/>
                <w:b/>
                <w:bCs/>
                <w:sz w:val="16"/>
                <w:szCs w:val="16"/>
                <w:vertAlign w:val="subscript"/>
                <w:lang w:eastAsia="uk-UA"/>
              </w:rPr>
              <w:t>к</w:t>
            </w:r>
            <w:proofErr w:type="spellEnd"/>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категорії надійності електропостачання (</w:t>
            </w:r>
            <w:hyperlink r:id="rId46" w:anchor="n152" w:history="1">
              <w:r w:rsidRPr="00AE4E6A">
                <w:rPr>
                  <w:rFonts w:ascii="Times New Roman" w:eastAsia="Times New Roman" w:hAnsi="Times New Roman" w:cs="Times New Roman"/>
                  <w:color w:val="0000FF"/>
                  <w:sz w:val="24"/>
                  <w:szCs w:val="24"/>
                  <w:u w:val="single"/>
                  <w:lang w:eastAsia="uk-UA"/>
                </w:rPr>
                <w:t>додаток 3</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2062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восьмий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7" w:anchor="n38"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b/>
                <w:bCs/>
                <w:sz w:val="24"/>
                <w:szCs w:val="24"/>
                <w:lang w:eastAsia="uk-UA"/>
              </w:rPr>
              <w:t>К</w:t>
            </w:r>
            <w:r w:rsidRPr="00AE4E6A">
              <w:rPr>
                <w:rFonts w:ascii="Times New Roman" w:eastAsia="Times New Roman" w:hAnsi="Times New Roman" w:cs="Times New Roman"/>
                <w:b/>
                <w:bCs/>
                <w:sz w:val="16"/>
                <w:szCs w:val="16"/>
                <w:vertAlign w:val="subscript"/>
                <w:lang w:eastAsia="uk-UA"/>
              </w:rPr>
              <w:t>н</w:t>
            </w:r>
            <w:proofErr w:type="spellEnd"/>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ступеня напруги в точці приєднання (0,4 (0,23), 6(10)20 кВ) (</w:t>
            </w:r>
            <w:hyperlink r:id="rId48" w:anchor="n155" w:history="1">
              <w:r w:rsidRPr="00AE4E6A">
                <w:rPr>
                  <w:rFonts w:ascii="Times New Roman" w:eastAsia="Times New Roman" w:hAnsi="Times New Roman" w:cs="Times New Roman"/>
                  <w:color w:val="0000FF"/>
                  <w:sz w:val="24"/>
                  <w:szCs w:val="24"/>
                  <w:u w:val="single"/>
                  <w:lang w:eastAsia="uk-UA"/>
                </w:rPr>
                <w:t>додаток 4</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2062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дев'ятий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 w:anchor="n39"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b/>
                <w:bCs/>
                <w:sz w:val="24"/>
                <w:szCs w:val="24"/>
                <w:lang w:eastAsia="uk-UA"/>
              </w:rPr>
              <w:t>К</w:t>
            </w:r>
            <w:r w:rsidRPr="00AE4E6A">
              <w:rPr>
                <w:rFonts w:ascii="Times New Roman" w:eastAsia="Times New Roman" w:hAnsi="Times New Roman" w:cs="Times New Roman"/>
                <w:b/>
                <w:bCs/>
                <w:sz w:val="16"/>
                <w:szCs w:val="16"/>
                <w:vertAlign w:val="subscript"/>
                <w:lang w:eastAsia="uk-UA"/>
              </w:rPr>
              <w:t>ф</w:t>
            </w:r>
            <w:proofErr w:type="spellEnd"/>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схеми електрозабезпечення (</w:t>
            </w:r>
            <w:hyperlink r:id="rId50" w:anchor="n158" w:history="1">
              <w:r w:rsidRPr="00AE4E6A">
                <w:rPr>
                  <w:rFonts w:ascii="Times New Roman" w:eastAsia="Times New Roman" w:hAnsi="Times New Roman" w:cs="Times New Roman"/>
                  <w:color w:val="0000FF"/>
                  <w:sz w:val="24"/>
                  <w:szCs w:val="24"/>
                  <w:u w:val="single"/>
                  <w:lang w:eastAsia="uk-UA"/>
                </w:rPr>
                <w:t>додаток 5</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2062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десятий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1" w:anchor="n40"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категорії надійності електропостачання i-того стандартного приєднання (за об'єктами замовників, приєднання яких завершено у базовому періоді) (</w:t>
            </w:r>
            <w:hyperlink r:id="rId52" w:anchor="n152" w:history="1">
              <w:r w:rsidRPr="00AE4E6A">
                <w:rPr>
                  <w:rFonts w:ascii="Times New Roman" w:eastAsia="Times New Roman" w:hAnsi="Times New Roman" w:cs="Times New Roman"/>
                  <w:color w:val="0000FF"/>
                  <w:sz w:val="24"/>
                  <w:szCs w:val="24"/>
                  <w:u w:val="single"/>
                  <w:lang w:eastAsia="uk-UA"/>
                </w:rPr>
                <w:t>додаток 3</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2062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одинадцятий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 w:anchor="n41"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ступеня напруги в точці приєднання (0,4 (0,23), 6(10)20 кВ) i-того стандартного приєднання (за об'єктами замовників, приєднання яких завершено у базовому періоді) (</w:t>
            </w:r>
            <w:hyperlink r:id="rId54" w:anchor="n155" w:history="1">
              <w:r w:rsidRPr="00AE4E6A">
                <w:rPr>
                  <w:rFonts w:ascii="Times New Roman" w:eastAsia="Times New Roman" w:hAnsi="Times New Roman" w:cs="Times New Roman"/>
                  <w:color w:val="0000FF"/>
                  <w:sz w:val="24"/>
                  <w:szCs w:val="24"/>
                  <w:u w:val="single"/>
                  <w:lang w:eastAsia="uk-UA"/>
                </w:rPr>
                <w:t>додаток 4</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2062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дванадцятий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 1700 від 06.10.2021}</w:t>
            </w:r>
          </w:p>
        </w:tc>
      </w:tr>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схеми електрозабезпечення i-того стандартного приєднання (за об'єктами замовників, приєднання яких завершено у базовому періоді) (</w:t>
            </w:r>
            <w:hyperlink r:id="rId55" w:anchor="n158" w:history="1">
              <w:r w:rsidRPr="00AE4E6A">
                <w:rPr>
                  <w:rFonts w:ascii="Times New Roman" w:eastAsia="Times New Roman" w:hAnsi="Times New Roman" w:cs="Times New Roman"/>
                  <w:color w:val="0000FF"/>
                  <w:sz w:val="24"/>
                  <w:szCs w:val="24"/>
                  <w:u w:val="single"/>
                  <w:lang w:eastAsia="uk-UA"/>
                </w:rPr>
                <w:t>додаток 5</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2062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тринадцятий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 w:anchor="n43"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прогнозного індексу зміни цін виробників промислової продукції на розрахунковий період у відношенні до базового періоду. Розмір індексу затверджується відповідною постановою Кабінету Міністрів України про схвалення Прогнозу економічного і соціального розвитку України на розрахунковий період (мінімальний);</w:t>
            </w:r>
          </w:p>
        </w:tc>
      </w:tr>
      <w:tr w:rsidR="00AE4E6A" w:rsidRPr="00AE4E6A" w:rsidTr="00AE4E6A">
        <w:tc>
          <w:tcPr>
            <w:tcW w:w="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7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3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88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оптимізації коштів щодо витрат, пов'язаних з наданням послуг зі стандартних приєднань електроустановок замовників до електричних мереж за базовий період для міської та сільської місцевості, який розраховується за формулою</w:t>
            </w:r>
          </w:p>
        </w:tc>
      </w:tr>
      <w:tr w:rsidR="00AE4E6A" w:rsidRPr="00AE4E6A" w:rsidTr="00AE4E6A">
        <w:tc>
          <w:tcPr>
            <w:tcW w:w="12315"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shd w:val="clear" w:color="auto" w:fill="FFFFFF"/>
                <w:lang w:eastAsia="uk-UA"/>
              </w:rPr>
            </w:pPr>
            <w:bookmarkStart w:id="73" w:name="n238"/>
            <w:bookmarkEnd w:id="73"/>
          </w:p>
        </w:tc>
        <w:tc>
          <w:tcPr>
            <w:tcW w:w="5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(4)</w:t>
            </w:r>
          </w:p>
        </w:tc>
      </w:tr>
    </w:tbl>
    <w:p w:rsidR="00AE4E6A" w:rsidRPr="00AE4E6A" w:rsidRDefault="00AE4E6A" w:rsidP="00AE4E6A">
      <w:pPr>
        <w:shd w:val="clear" w:color="auto" w:fill="FFFFFF"/>
        <w:spacing w:after="150" w:line="240" w:lineRule="auto"/>
        <w:jc w:val="both"/>
        <w:rPr>
          <w:rFonts w:ascii="Times New Roman" w:eastAsia="Times New Roman" w:hAnsi="Times New Roman" w:cs="Times New Roman"/>
          <w:vanish/>
          <w:color w:val="333333"/>
          <w:sz w:val="24"/>
          <w:szCs w:val="24"/>
          <w:lang w:eastAsia="uk-UA"/>
        </w:rPr>
      </w:pPr>
      <w:bookmarkStart w:id="74" w:name="n239"/>
      <w:bookmarkEnd w:id="74"/>
    </w:p>
    <w:tbl>
      <w:tblPr>
        <w:tblW w:w="5000" w:type="pct"/>
        <w:tblCellMar>
          <w:top w:w="15" w:type="dxa"/>
          <w:left w:w="15" w:type="dxa"/>
          <w:bottom w:w="15" w:type="dxa"/>
          <w:right w:w="15" w:type="dxa"/>
        </w:tblCellMar>
        <w:tblLook w:val="04A0" w:firstRow="1" w:lastRow="0" w:firstColumn="1" w:lastColumn="0" w:noHBand="0" w:noVBand="1"/>
      </w:tblPr>
      <w:tblGrid>
        <w:gridCol w:w="499"/>
        <w:gridCol w:w="947"/>
        <w:gridCol w:w="110"/>
        <w:gridCol w:w="7793"/>
      </w:tblGrid>
      <w:tr w:rsidR="00AE4E6A" w:rsidRPr="00AE4E6A" w:rsidTr="00AE4E6A">
        <w:tc>
          <w:tcPr>
            <w:tcW w:w="6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де</w:t>
            </w:r>
          </w:p>
        </w:tc>
        <w:tc>
          <w:tcPr>
            <w:tcW w:w="13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0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05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фактичні капітальні витрати, понесені під час надання послуги за j-те стандартне приєднання (за об'єктами замовників, приєднання яких завершено у базовому періоді) для міської та сільської місцевості за першим та другим ступенями стандартного приєднання, по яких проводився аналіз відповідно до </w:t>
            </w:r>
            <w:hyperlink r:id="rId57" w:anchor="n249" w:history="1">
              <w:r w:rsidRPr="00AE4E6A">
                <w:rPr>
                  <w:rFonts w:ascii="Times New Roman" w:eastAsia="Times New Roman" w:hAnsi="Times New Roman" w:cs="Times New Roman"/>
                  <w:color w:val="0000FF"/>
                  <w:sz w:val="24"/>
                  <w:szCs w:val="24"/>
                  <w:u w:val="single"/>
                  <w:lang w:eastAsia="uk-UA"/>
                </w:rPr>
                <w:t>пункту 3.7</w:t>
              </w:r>
            </w:hyperlink>
            <w:r w:rsidRPr="00AE4E6A">
              <w:rPr>
                <w:rFonts w:ascii="Times New Roman" w:eastAsia="Times New Roman" w:hAnsi="Times New Roman" w:cs="Times New Roman"/>
                <w:sz w:val="24"/>
                <w:szCs w:val="24"/>
                <w:lang w:eastAsia="uk-UA"/>
              </w:rPr>
              <w:t> цієї глави з урахуванням результатів аналізу, тис. грн (без ПДВ);</w:t>
            </w:r>
          </w:p>
        </w:tc>
      </w:tr>
      <w:tr w:rsidR="00AE4E6A" w:rsidRPr="00AE4E6A" w:rsidTr="00AE4E6A">
        <w:tc>
          <w:tcPr>
            <w:tcW w:w="6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3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0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05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фактичні капітальні витрати, понесені під час надання послуги за j-те стандартне приєднання (за об'єктами замовників, приєднання яких завершено у базовому періоді) для міської та сільської місцевості за першим та другим ступенями стандартного приєднання (значення за рядками графи 80 </w:t>
            </w:r>
            <w:hyperlink r:id="rId58" w:anchor="n146" w:history="1">
              <w:r w:rsidRPr="00AE4E6A">
                <w:rPr>
                  <w:rFonts w:ascii="Times New Roman" w:eastAsia="Times New Roman" w:hAnsi="Times New Roman" w:cs="Times New Roman"/>
                  <w:color w:val="0000FF"/>
                  <w:sz w:val="24"/>
                  <w:szCs w:val="24"/>
                  <w:u w:val="single"/>
                  <w:lang w:eastAsia="uk-UA"/>
                </w:rPr>
                <w:t>додатка 1</w:t>
              </w:r>
            </w:hyperlink>
            <w:r w:rsidRPr="00AE4E6A">
              <w:rPr>
                <w:rFonts w:ascii="Times New Roman" w:eastAsia="Times New Roman" w:hAnsi="Times New Roman" w:cs="Times New Roman"/>
                <w:sz w:val="24"/>
                <w:szCs w:val="24"/>
                <w:lang w:eastAsia="uk-UA"/>
              </w:rPr>
              <w:t> до цієї Методики), по яких проводився аналіз відповідно до </w:t>
            </w:r>
            <w:hyperlink r:id="rId59" w:anchor="n249" w:history="1">
              <w:r w:rsidRPr="00AE4E6A">
                <w:rPr>
                  <w:rFonts w:ascii="Times New Roman" w:eastAsia="Times New Roman" w:hAnsi="Times New Roman" w:cs="Times New Roman"/>
                  <w:color w:val="0000FF"/>
                  <w:sz w:val="24"/>
                  <w:szCs w:val="24"/>
                  <w:u w:val="single"/>
                  <w:lang w:eastAsia="uk-UA"/>
                </w:rPr>
                <w:t>пункту 3.7</w:t>
              </w:r>
            </w:hyperlink>
            <w:r w:rsidRPr="00AE4E6A">
              <w:rPr>
                <w:rFonts w:ascii="Times New Roman" w:eastAsia="Times New Roman" w:hAnsi="Times New Roman" w:cs="Times New Roman"/>
                <w:sz w:val="24"/>
                <w:szCs w:val="24"/>
                <w:lang w:eastAsia="uk-UA"/>
              </w:rPr>
              <w:t> цієї глави, тис. грн (без ПДВ).</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 w:name="n327"/>
      <w:bookmarkEnd w:id="75"/>
      <w:r w:rsidRPr="00AE4E6A">
        <w:rPr>
          <w:rFonts w:ascii="Times New Roman" w:eastAsia="Times New Roman" w:hAnsi="Times New Roman" w:cs="Times New Roman"/>
          <w:i/>
          <w:iCs/>
          <w:color w:val="333333"/>
          <w:sz w:val="24"/>
          <w:szCs w:val="24"/>
          <w:shd w:val="clear" w:color="auto" w:fill="FFFFFF"/>
          <w:lang w:eastAsia="uk-UA"/>
        </w:rPr>
        <w:t>{Абзац вісімнадцятий пункту 3.2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 w:anchor="n44"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240"/>
      <w:bookmarkEnd w:id="76"/>
      <w:r w:rsidRPr="00AE4E6A">
        <w:rPr>
          <w:rFonts w:ascii="Times New Roman" w:eastAsia="Times New Roman" w:hAnsi="Times New Roman" w:cs="Times New Roman"/>
          <w:color w:val="333333"/>
          <w:sz w:val="24"/>
          <w:szCs w:val="24"/>
          <w:lang w:eastAsia="uk-UA"/>
        </w:rPr>
        <w:t>3.3. Різниця між обсягом надходження коштів від надання послуг зі стандартних приєднань та фактичними витратами на приєднання </w:t>
      </w:r>
      <w:proofErr w:type="spellStart"/>
      <w:r w:rsidRPr="00AE4E6A">
        <w:rPr>
          <w:rFonts w:ascii="Arial Unicode MS" w:eastAsia="Times New Roman" w:hAnsi="Arial Unicode MS" w:cs="Times New Roman"/>
          <w:b/>
          <w:bCs/>
          <w:color w:val="333333"/>
          <w:sz w:val="24"/>
          <w:szCs w:val="24"/>
          <w:lang w:eastAsia="uk-UA"/>
        </w:rPr>
        <w:t>Δ</w:t>
      </w:r>
      <w:r w:rsidRPr="00AE4E6A">
        <w:rPr>
          <w:rFonts w:ascii="Times New Roman" w:eastAsia="Times New Roman" w:hAnsi="Times New Roman" w:cs="Times New Roman"/>
          <w:b/>
          <w:bCs/>
          <w:color w:val="333333"/>
          <w:sz w:val="16"/>
          <w:szCs w:val="16"/>
          <w:vertAlign w:val="subscript"/>
          <w:lang w:eastAsia="uk-UA"/>
        </w:rPr>
        <w:t>В</w:t>
      </w:r>
      <w:r w:rsidRPr="00AE4E6A">
        <w:rPr>
          <w:rFonts w:ascii="Times New Roman" w:eastAsia="Times New Roman" w:hAnsi="Times New Roman" w:cs="Times New Roman"/>
          <w:b/>
          <w:bCs/>
          <w:color w:val="333333"/>
          <w:sz w:val="16"/>
          <w:szCs w:val="16"/>
          <w:vertAlign w:val="superscript"/>
          <w:lang w:eastAsia="uk-UA"/>
        </w:rPr>
        <w:t>місц</w:t>
      </w:r>
      <w:proofErr w:type="spellEnd"/>
      <w:r w:rsidRPr="00AE4E6A">
        <w:rPr>
          <w:rFonts w:ascii="Times New Roman" w:eastAsia="Times New Roman" w:hAnsi="Times New Roman" w:cs="Times New Roman"/>
          <w:color w:val="333333"/>
          <w:sz w:val="24"/>
          <w:szCs w:val="24"/>
          <w:lang w:eastAsia="uk-UA"/>
        </w:rPr>
        <w:t> визначається окремо для міської та сільської місцевості за першим та другим ступенями стандартного приєднання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498"/>
        <w:gridCol w:w="748"/>
        <w:gridCol w:w="110"/>
        <w:gridCol w:w="7502"/>
        <w:gridCol w:w="491"/>
      </w:tblGrid>
      <w:tr w:rsidR="00AE4E6A" w:rsidRPr="00AE4E6A" w:rsidTr="00AE4E6A">
        <w:tc>
          <w:tcPr>
            <w:tcW w:w="12300"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lang w:eastAsia="uk-UA"/>
              </w:rPr>
            </w:pPr>
            <w:bookmarkStart w:id="77" w:name="n241"/>
            <w:bookmarkEnd w:id="77"/>
          </w:p>
        </w:tc>
        <w:tc>
          <w:tcPr>
            <w:tcW w:w="55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(5)</w:t>
            </w:r>
          </w:p>
        </w:tc>
      </w:tr>
      <w:tr w:rsidR="00AE4E6A" w:rsidRPr="00AE4E6A" w:rsidTr="00AE4E6A">
        <w:tc>
          <w:tcPr>
            <w:tcW w:w="6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78" w:name="n242"/>
            <w:bookmarkEnd w:id="78"/>
            <w:r w:rsidRPr="00AE4E6A">
              <w:rPr>
                <w:rFonts w:ascii="Times New Roman" w:eastAsia="Times New Roman" w:hAnsi="Times New Roman" w:cs="Times New Roman"/>
                <w:sz w:val="24"/>
                <w:szCs w:val="24"/>
                <w:lang w:eastAsia="uk-UA"/>
              </w:rPr>
              <w:t>де</w:t>
            </w:r>
          </w:p>
        </w:tc>
        <w:tc>
          <w:tcPr>
            <w:tcW w:w="109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026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сума коштів, що надійшли як плата за стандартне приєднання (за об'єктами замовників, приєднання яких завершено у базовому періоді) для міської та сільської місцевості за першим та другим ступенями стандартного приєднання (сумарне значення за рядками графи 25 </w:t>
            </w:r>
            <w:hyperlink r:id="rId61" w:anchor="n146" w:history="1">
              <w:r w:rsidRPr="00AE4E6A">
                <w:rPr>
                  <w:rFonts w:ascii="Times New Roman" w:eastAsia="Times New Roman" w:hAnsi="Times New Roman" w:cs="Times New Roman"/>
                  <w:color w:val="0000FF"/>
                  <w:sz w:val="24"/>
                  <w:szCs w:val="24"/>
                  <w:u w:val="single"/>
                  <w:lang w:eastAsia="uk-UA"/>
                </w:rPr>
                <w:t>додатка 1</w:t>
              </w:r>
            </w:hyperlink>
            <w:r w:rsidRPr="00AE4E6A">
              <w:rPr>
                <w:rFonts w:ascii="Times New Roman" w:eastAsia="Times New Roman" w:hAnsi="Times New Roman" w:cs="Times New Roman"/>
                <w:sz w:val="24"/>
                <w:szCs w:val="24"/>
                <w:lang w:eastAsia="uk-UA"/>
              </w:rPr>
              <w:t> до цієї Методики), тис. грн (без ПДВ);</w:t>
            </w:r>
          </w:p>
        </w:tc>
      </w:tr>
      <w:tr w:rsidR="00AE4E6A" w:rsidRPr="00AE4E6A" w:rsidTr="00AE4E6A">
        <w:tc>
          <w:tcPr>
            <w:tcW w:w="1198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третій пункту 3.3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2" w:anchor="n46"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6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09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1026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сума фактичних капітальних витрат, понесених під час надання послуг зі стандартних приєднань (за об'єктами замовників, приєднання яких завершено у базовому періоді) та підтверджених актами виконаних робіт для міської та сільської місцевості за першим та другим ступенями стандартного приєднання (сумарне значення за рядками графи 80 </w:t>
            </w:r>
            <w:hyperlink r:id="rId63" w:anchor="n146" w:history="1">
              <w:r w:rsidRPr="00AE4E6A">
                <w:rPr>
                  <w:rFonts w:ascii="Times New Roman" w:eastAsia="Times New Roman" w:hAnsi="Times New Roman" w:cs="Times New Roman"/>
                  <w:color w:val="0000FF"/>
                  <w:sz w:val="24"/>
                  <w:szCs w:val="24"/>
                  <w:u w:val="single"/>
                  <w:lang w:eastAsia="uk-UA"/>
                </w:rPr>
                <w:t>додатка 1</w:t>
              </w:r>
            </w:hyperlink>
            <w:r w:rsidRPr="00AE4E6A">
              <w:rPr>
                <w:rFonts w:ascii="Times New Roman" w:eastAsia="Times New Roman" w:hAnsi="Times New Roman" w:cs="Times New Roman"/>
                <w:sz w:val="24"/>
                <w:szCs w:val="24"/>
                <w:lang w:eastAsia="uk-UA"/>
              </w:rPr>
              <w:t> до цієї Методики), тис. грн (без ПДВ).</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 w:name="n328"/>
      <w:bookmarkEnd w:id="79"/>
      <w:r w:rsidRPr="00AE4E6A">
        <w:rPr>
          <w:rFonts w:ascii="Times New Roman" w:eastAsia="Times New Roman" w:hAnsi="Times New Roman" w:cs="Times New Roman"/>
          <w:i/>
          <w:iCs/>
          <w:color w:val="333333"/>
          <w:sz w:val="24"/>
          <w:szCs w:val="24"/>
          <w:shd w:val="clear" w:color="auto" w:fill="FFFFFF"/>
          <w:lang w:eastAsia="uk-UA"/>
        </w:rPr>
        <w:t>{Абзац четвертий пункту 3.3 глави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 w:anchor="n47"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331"/>
      <w:bookmarkEnd w:id="80"/>
      <w:r w:rsidRPr="00AE4E6A">
        <w:rPr>
          <w:rFonts w:ascii="Times New Roman" w:eastAsia="Times New Roman" w:hAnsi="Times New Roman" w:cs="Times New Roman"/>
          <w:color w:val="333333"/>
          <w:sz w:val="24"/>
          <w:szCs w:val="24"/>
          <w:lang w:eastAsia="uk-UA"/>
        </w:rPr>
        <w:t>3.4. Для розрахунку ставок плати за стандартне приєднання та величини дефіциту або профіциту коштів щодо надходжень та витрат, пов'язаних з наданням послуг зі стандартних приєднань, оператор системи розподілу формує розширений звіт за формою, наведеною в </w:t>
      </w:r>
      <w:hyperlink r:id="rId65" w:anchor="n146" w:history="1">
        <w:r w:rsidRPr="00AE4E6A">
          <w:rPr>
            <w:rFonts w:ascii="Times New Roman" w:eastAsia="Times New Roman" w:hAnsi="Times New Roman" w:cs="Times New Roman"/>
            <w:color w:val="0000FF"/>
            <w:sz w:val="24"/>
            <w:szCs w:val="24"/>
            <w:u w:val="single"/>
            <w:lang w:eastAsia="uk-UA"/>
          </w:rPr>
          <w:t>додатку 1</w:t>
        </w:r>
      </w:hyperlink>
      <w:r w:rsidRPr="00AE4E6A">
        <w:rPr>
          <w:rFonts w:ascii="Times New Roman" w:eastAsia="Times New Roman" w:hAnsi="Times New Roman" w:cs="Times New Roman"/>
          <w:color w:val="333333"/>
          <w:sz w:val="24"/>
          <w:szCs w:val="24"/>
          <w:lang w:eastAsia="uk-UA"/>
        </w:rPr>
        <w:t> до цієї Методики (з урахуванням граф 64-108), із зазначенням фактичних витрат (без ПДВ) на приєднання електроустановок замовників, які за ознаками відповідають першому та другому ступеням стандартного приєднання, та пояснювальну записку, що містить обґрунтування витрат.</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 w:name="n336"/>
      <w:bookmarkEnd w:id="81"/>
      <w:r w:rsidRPr="00AE4E6A">
        <w:rPr>
          <w:rFonts w:ascii="Times New Roman" w:eastAsia="Times New Roman" w:hAnsi="Times New Roman" w:cs="Times New Roman"/>
          <w:i/>
          <w:iCs/>
          <w:color w:val="333333"/>
          <w:sz w:val="24"/>
          <w:szCs w:val="24"/>
          <w:shd w:val="clear" w:color="auto" w:fill="FFFFFF"/>
          <w:lang w:eastAsia="uk-UA"/>
        </w:rPr>
        <w:t>{Пункт 3.4 глави 3 в редакції Постанови Національної комісії, що здійснює державне регулювання у сферах енергетики та комунальних послуг </w:t>
      </w:r>
      <w:hyperlink r:id="rId66" w:anchor="n48"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332"/>
      <w:bookmarkEnd w:id="82"/>
      <w:r w:rsidRPr="00AE4E6A">
        <w:rPr>
          <w:rFonts w:ascii="Times New Roman" w:eastAsia="Times New Roman" w:hAnsi="Times New Roman" w:cs="Times New Roman"/>
          <w:color w:val="333333"/>
          <w:sz w:val="24"/>
          <w:szCs w:val="24"/>
          <w:lang w:eastAsia="uk-UA"/>
        </w:rPr>
        <w:t xml:space="preserve">3.5. У випадку ненадання оператором системи розподілу інформації щодо фактичних витрат (без ПДВ) на приєднання НКРЕКП затверджує для такого оператора системи розподілу ставки плати за стандартне приєднання виходячи з наявної інформації </w:t>
      </w:r>
      <w:r w:rsidRPr="00AE4E6A">
        <w:rPr>
          <w:rFonts w:ascii="Times New Roman" w:eastAsia="Times New Roman" w:hAnsi="Times New Roman" w:cs="Times New Roman"/>
          <w:color w:val="333333"/>
          <w:sz w:val="24"/>
          <w:szCs w:val="24"/>
          <w:lang w:eastAsia="uk-UA"/>
        </w:rPr>
        <w:lastRenderedPageBreak/>
        <w:t>попередніх періодів на рівні найнижчих величин відповідних ставок плати за стандартне приєднання серед усіх інших операторів систем розподілу.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333"/>
      <w:bookmarkEnd w:id="83"/>
      <w:r w:rsidRPr="00AE4E6A">
        <w:rPr>
          <w:rFonts w:ascii="Times New Roman" w:eastAsia="Times New Roman" w:hAnsi="Times New Roman" w:cs="Times New Roman"/>
          <w:color w:val="333333"/>
          <w:sz w:val="24"/>
          <w:szCs w:val="24"/>
          <w:lang w:eastAsia="uk-UA"/>
        </w:rPr>
        <w:t>У разі ненадання операторами систем розподілу даних для розрахунку ставок плати за стандартне приєднання у вигляді та обсягах, установлених НКРЕКП, розрахунок ставок плати за стандартне приєднання проводиться на підставі даних, скоригованих НКРЕКП згідно з цією Методикою.</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334"/>
      <w:bookmarkEnd w:id="84"/>
      <w:r w:rsidRPr="00AE4E6A">
        <w:rPr>
          <w:rFonts w:ascii="Times New Roman" w:eastAsia="Times New Roman" w:hAnsi="Times New Roman" w:cs="Times New Roman"/>
          <w:color w:val="333333"/>
          <w:sz w:val="24"/>
          <w:szCs w:val="24"/>
          <w:lang w:eastAsia="uk-UA"/>
        </w:rPr>
        <w:t>Для новоствореного оператора системи розподілу НКРЕКП затверджує ставки плати за стандартне приєднання на рівні середнього значення за величинами відповідних ставок плати за стандартне приєднання всіх інших операторів систем розподілу.</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 w:name="n337"/>
      <w:bookmarkEnd w:id="85"/>
      <w:r w:rsidRPr="00AE4E6A">
        <w:rPr>
          <w:rFonts w:ascii="Times New Roman" w:eastAsia="Times New Roman" w:hAnsi="Times New Roman" w:cs="Times New Roman"/>
          <w:i/>
          <w:iCs/>
          <w:color w:val="333333"/>
          <w:sz w:val="24"/>
          <w:szCs w:val="24"/>
          <w:shd w:val="clear" w:color="auto" w:fill="FFFFFF"/>
          <w:lang w:eastAsia="uk-UA"/>
        </w:rPr>
        <w:t>{Пункт 3.5 глави 3 в редакції Постанови Національної комісії, що здійснює державне регулювання у сферах енергетики та комунальних послуг </w:t>
      </w:r>
      <w:hyperlink r:id="rId67" w:anchor="n48"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248"/>
      <w:bookmarkEnd w:id="86"/>
      <w:r w:rsidRPr="00AE4E6A">
        <w:rPr>
          <w:rFonts w:ascii="Times New Roman" w:eastAsia="Times New Roman" w:hAnsi="Times New Roman" w:cs="Times New Roman"/>
          <w:color w:val="333333"/>
          <w:sz w:val="24"/>
          <w:szCs w:val="24"/>
          <w:lang w:eastAsia="uk-UA"/>
        </w:rPr>
        <w:t>3.6. НКРЕКП розглядає та перевіряє надані операторами систем розподілу вихідні дані для розрахунку та пояснювальні записки, що містять обґрунтування розрахунків, здійснює розрахунок значення ставок плати за стандартне приєднання та встановлює на наступний розрахунковий період для кожного оператора системи розподілу ставки плати за стандартне приєднання.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249"/>
      <w:bookmarkEnd w:id="87"/>
      <w:r w:rsidRPr="00AE4E6A">
        <w:rPr>
          <w:rFonts w:ascii="Times New Roman" w:eastAsia="Times New Roman" w:hAnsi="Times New Roman" w:cs="Times New Roman"/>
          <w:color w:val="333333"/>
          <w:sz w:val="24"/>
          <w:szCs w:val="24"/>
          <w:lang w:eastAsia="uk-UA"/>
        </w:rPr>
        <w:t>3.7. З метою визначення величини дефіциту або профіциту коштів щодо надходжень та витрат, пов'язаних з наданням послуг зі стандартних приєднань, на економічно обґрунтованому рівні НКРЕКП здійснює перевірку та аналіз наданих операторами систем розподілу відповідно до </w:t>
      </w:r>
      <w:hyperlink r:id="rId68" w:anchor="n369" w:history="1">
        <w:r w:rsidRPr="00AE4E6A">
          <w:rPr>
            <w:rFonts w:ascii="Times New Roman" w:eastAsia="Times New Roman" w:hAnsi="Times New Roman" w:cs="Times New Roman"/>
            <w:color w:val="0000FF"/>
            <w:sz w:val="24"/>
            <w:szCs w:val="24"/>
            <w:u w:val="single"/>
            <w:lang w:eastAsia="uk-UA"/>
          </w:rPr>
          <w:t>пункту 1.5</w:t>
        </w:r>
      </w:hyperlink>
      <w:r w:rsidRPr="00AE4E6A">
        <w:rPr>
          <w:rFonts w:ascii="Times New Roman" w:eastAsia="Times New Roman" w:hAnsi="Times New Roman" w:cs="Times New Roman"/>
          <w:color w:val="333333"/>
          <w:sz w:val="24"/>
          <w:szCs w:val="24"/>
          <w:lang w:eastAsia="uk-UA"/>
        </w:rPr>
        <w:t xml:space="preserve"> глави 1 цієї Методики вихідних даних, зокрема шляхом аналізу актів виконаних робіт та </w:t>
      </w:r>
      <w:proofErr w:type="spellStart"/>
      <w:r w:rsidRPr="00AE4E6A">
        <w:rPr>
          <w:rFonts w:ascii="Times New Roman" w:eastAsia="Times New Roman" w:hAnsi="Times New Roman" w:cs="Times New Roman"/>
          <w:color w:val="333333"/>
          <w:sz w:val="24"/>
          <w:szCs w:val="24"/>
          <w:lang w:eastAsia="uk-UA"/>
        </w:rPr>
        <w:t>проєктної</w:t>
      </w:r>
      <w:proofErr w:type="spellEnd"/>
      <w:r w:rsidRPr="00AE4E6A">
        <w:rPr>
          <w:rFonts w:ascii="Times New Roman" w:eastAsia="Times New Roman" w:hAnsi="Times New Roman" w:cs="Times New Roman"/>
          <w:color w:val="333333"/>
          <w:sz w:val="24"/>
          <w:szCs w:val="24"/>
          <w:lang w:eastAsia="uk-UA"/>
        </w:rPr>
        <w:t xml:space="preserve"> документації, пов'язаних із наданням у базовому періоді послуг з приєднання до електричних мереж електроустановок замовників, що відповідають критеріям стандартного приєднання.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340"/>
      <w:bookmarkEnd w:id="88"/>
      <w:r w:rsidRPr="00AE4E6A">
        <w:rPr>
          <w:rFonts w:ascii="Times New Roman" w:eastAsia="Times New Roman" w:hAnsi="Times New Roman" w:cs="Times New Roman"/>
          <w:color w:val="333333"/>
          <w:sz w:val="24"/>
          <w:szCs w:val="24"/>
          <w:lang w:eastAsia="uk-UA"/>
        </w:rPr>
        <w:t>Проведення ОСР розрахунку дефіциту або профіциту коштів щодо надходжень та витрат, пов'язаних з наданням послуг з приєднання, на виконання вимог </w:t>
      </w:r>
      <w:hyperlink r:id="rId69" w:anchor="n369" w:history="1">
        <w:r w:rsidRPr="00AE4E6A">
          <w:rPr>
            <w:rFonts w:ascii="Times New Roman" w:eastAsia="Times New Roman" w:hAnsi="Times New Roman" w:cs="Times New Roman"/>
            <w:color w:val="0000FF"/>
            <w:sz w:val="24"/>
            <w:szCs w:val="24"/>
            <w:u w:val="single"/>
            <w:lang w:eastAsia="uk-UA"/>
          </w:rPr>
          <w:t>пункту 1.5</w:t>
        </w:r>
      </w:hyperlink>
      <w:r w:rsidRPr="00AE4E6A">
        <w:rPr>
          <w:rFonts w:ascii="Times New Roman" w:eastAsia="Times New Roman" w:hAnsi="Times New Roman" w:cs="Times New Roman"/>
          <w:color w:val="333333"/>
          <w:sz w:val="24"/>
          <w:szCs w:val="24"/>
          <w:lang w:eastAsia="uk-UA"/>
        </w:rPr>
        <w:t> глави 1 цієї Методики має здійснюватися без застосування коефіцієнта оптимізації коштів.</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 w:name="n341"/>
      <w:bookmarkEnd w:id="89"/>
      <w:r w:rsidRPr="00AE4E6A">
        <w:rPr>
          <w:rFonts w:ascii="Times New Roman" w:eastAsia="Times New Roman" w:hAnsi="Times New Roman" w:cs="Times New Roman"/>
          <w:i/>
          <w:iCs/>
          <w:color w:val="333333"/>
          <w:sz w:val="24"/>
          <w:szCs w:val="24"/>
          <w:shd w:val="clear" w:color="auto" w:fill="FFFFFF"/>
          <w:lang w:eastAsia="uk-UA"/>
        </w:rPr>
        <w:t>{Пункт 3.7 глави 3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0" w:anchor="n53"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tbl>
      <w:tblPr>
        <w:tblW w:w="5000" w:type="pct"/>
        <w:tblCellMar>
          <w:top w:w="60" w:type="dxa"/>
          <w:left w:w="60" w:type="dxa"/>
          <w:bottom w:w="60" w:type="dxa"/>
          <w:right w:w="60" w:type="dxa"/>
        </w:tblCellMar>
        <w:tblLook w:val="04A0" w:firstRow="1" w:lastRow="0" w:firstColumn="1" w:lastColumn="0" w:noHBand="0" w:noVBand="1"/>
      </w:tblPr>
      <w:tblGrid>
        <w:gridCol w:w="9349"/>
      </w:tblGrid>
      <w:tr w:rsidR="00AE4E6A" w:rsidRPr="00AE4E6A" w:rsidTr="00AE4E6A">
        <w:tc>
          <w:tcPr>
            <w:tcW w:w="973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bookmarkStart w:id="90" w:name="n382"/>
            <w:bookmarkEnd w:id="90"/>
            <w:r w:rsidRPr="00AE4E6A">
              <w:rPr>
                <w:rFonts w:ascii="Times New Roman" w:eastAsia="Times New Roman" w:hAnsi="Times New Roman" w:cs="Times New Roman"/>
                <w:sz w:val="24"/>
                <w:szCs w:val="24"/>
                <w:lang w:eastAsia="uk-UA"/>
              </w:rPr>
              <w:t>3.8. Розрахунок коефіцієнта оптимізації  коштів щодо витрат, пов'язаних з наданням послуг зі стандартних приєднань електроустановок замовників до електричних мереж за базовий період, окремо проводиться НКРЕКП для міської та сільської місцевості на підставі аналізу актів за виконаними договорами про приєднання.</w:t>
            </w:r>
          </w:p>
        </w:tc>
      </w:tr>
    </w:tbl>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384"/>
      <w:bookmarkEnd w:id="91"/>
      <w:r w:rsidRPr="00AE4E6A">
        <w:rPr>
          <w:rFonts w:ascii="Times New Roman" w:eastAsia="Times New Roman" w:hAnsi="Times New Roman" w:cs="Times New Roman"/>
          <w:color w:val="333333"/>
          <w:sz w:val="24"/>
          <w:szCs w:val="24"/>
          <w:lang w:eastAsia="uk-UA"/>
        </w:rPr>
        <w:t>Додатково проводиться окремий аналіз по кошторисах виконаних приєднань господарським і підрядним способами з найбільшими витратами: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385"/>
      <w:bookmarkEnd w:id="92"/>
      <w:r w:rsidRPr="00AE4E6A">
        <w:rPr>
          <w:rFonts w:ascii="Times New Roman" w:eastAsia="Times New Roman" w:hAnsi="Times New Roman" w:cs="Times New Roman"/>
          <w:color w:val="333333"/>
          <w:sz w:val="24"/>
          <w:szCs w:val="24"/>
          <w:lang w:eastAsia="uk-UA"/>
        </w:rPr>
        <w:t>по п’ять кошторисів для стандартних приєднань для міської та сільської місцевостей, виконаних підрядним способом;</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386"/>
      <w:bookmarkEnd w:id="93"/>
      <w:r w:rsidRPr="00AE4E6A">
        <w:rPr>
          <w:rFonts w:ascii="Times New Roman" w:eastAsia="Times New Roman" w:hAnsi="Times New Roman" w:cs="Times New Roman"/>
          <w:color w:val="333333"/>
          <w:sz w:val="24"/>
          <w:szCs w:val="24"/>
          <w:lang w:eastAsia="uk-UA"/>
        </w:rPr>
        <w:t>по п’ять кошторисів для стандартних приєднань для міської та сільської місцевостей, виконаних господарським способом.</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387"/>
      <w:bookmarkEnd w:id="94"/>
      <w:r w:rsidRPr="00AE4E6A">
        <w:rPr>
          <w:rFonts w:ascii="Times New Roman" w:eastAsia="Times New Roman" w:hAnsi="Times New Roman" w:cs="Times New Roman"/>
          <w:color w:val="333333"/>
          <w:sz w:val="24"/>
          <w:szCs w:val="24"/>
          <w:lang w:eastAsia="uk-UA"/>
        </w:rPr>
        <w:t>Вартісні показники на матеріали та обладнання враховуються із застосуванням коефіцієнта 1,1 для всього переліку матеріалів та обладнання, використаних під час надання послуг з приєднань.</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388"/>
      <w:bookmarkEnd w:id="95"/>
      <w:r w:rsidRPr="00AE4E6A">
        <w:rPr>
          <w:rFonts w:ascii="Times New Roman" w:eastAsia="Times New Roman" w:hAnsi="Times New Roman" w:cs="Times New Roman"/>
          <w:color w:val="333333"/>
          <w:sz w:val="24"/>
          <w:szCs w:val="24"/>
          <w:lang w:eastAsia="uk-UA"/>
        </w:rPr>
        <w:t xml:space="preserve">У разі придбання обладнання/матеріалів, по яких відсутні цінові показники, граничні ціни визначаються виходячи з вартості складових обладнання в разі можливості такого </w:t>
      </w:r>
      <w:r w:rsidRPr="00AE4E6A">
        <w:rPr>
          <w:rFonts w:ascii="Times New Roman" w:eastAsia="Times New Roman" w:hAnsi="Times New Roman" w:cs="Times New Roman"/>
          <w:color w:val="333333"/>
          <w:sz w:val="24"/>
          <w:szCs w:val="24"/>
          <w:lang w:eastAsia="uk-UA"/>
        </w:rPr>
        <w:lastRenderedPageBreak/>
        <w:t>аналізу або на підставі цінових показників на обладнання зі схожими технічними характеристиками.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389"/>
      <w:bookmarkEnd w:id="96"/>
      <w:r w:rsidRPr="00AE4E6A">
        <w:rPr>
          <w:rFonts w:ascii="Times New Roman" w:eastAsia="Times New Roman" w:hAnsi="Times New Roman" w:cs="Times New Roman"/>
          <w:color w:val="333333"/>
          <w:sz w:val="24"/>
          <w:szCs w:val="24"/>
          <w:lang w:eastAsia="uk-UA"/>
        </w:rPr>
        <w:t xml:space="preserve">Результати аналізу застосовуються </w:t>
      </w:r>
      <w:proofErr w:type="spellStart"/>
      <w:r w:rsidRPr="00AE4E6A">
        <w:rPr>
          <w:rFonts w:ascii="Times New Roman" w:eastAsia="Times New Roman" w:hAnsi="Times New Roman" w:cs="Times New Roman"/>
          <w:color w:val="333333"/>
          <w:sz w:val="24"/>
          <w:szCs w:val="24"/>
          <w:lang w:eastAsia="uk-UA"/>
        </w:rPr>
        <w:t>пропорційно</w:t>
      </w:r>
      <w:proofErr w:type="spellEnd"/>
      <w:r w:rsidRPr="00AE4E6A">
        <w:rPr>
          <w:rFonts w:ascii="Times New Roman" w:eastAsia="Times New Roman" w:hAnsi="Times New Roman" w:cs="Times New Roman"/>
          <w:color w:val="333333"/>
          <w:sz w:val="24"/>
          <w:szCs w:val="24"/>
          <w:lang w:eastAsia="uk-UA"/>
        </w:rPr>
        <w:t xml:space="preserve"> до кожного напряму для визначення фактичних капітальних витрат, понесених під час надання послуг зі стандартного приєднання (за об'єктами замовників, приєднання яких завершено в базовому періоді) для міської та сільської місцевості за першим та другим ступенями стандартного приєднання, за якими проводився аналіз.</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 w:name="n390"/>
      <w:bookmarkEnd w:id="97"/>
      <w:r w:rsidRPr="00AE4E6A">
        <w:rPr>
          <w:rFonts w:ascii="Times New Roman" w:eastAsia="Times New Roman" w:hAnsi="Times New Roman" w:cs="Times New Roman"/>
          <w:i/>
          <w:iCs/>
          <w:color w:val="333333"/>
          <w:sz w:val="24"/>
          <w:szCs w:val="24"/>
          <w:shd w:val="clear" w:color="auto" w:fill="FFFFFF"/>
          <w:lang w:eastAsia="uk-UA"/>
        </w:rPr>
        <w:t>{Главу 3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71" w:anchor="n55"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8" w:name="n250"/>
      <w:bookmarkEnd w:id="98"/>
      <w:r w:rsidRPr="00AE4E6A">
        <w:rPr>
          <w:rFonts w:ascii="Times New Roman" w:eastAsia="Times New Roman" w:hAnsi="Times New Roman" w:cs="Times New Roman"/>
          <w:b/>
          <w:bCs/>
          <w:color w:val="333333"/>
          <w:sz w:val="28"/>
          <w:szCs w:val="28"/>
          <w:lang w:eastAsia="uk-UA"/>
        </w:rPr>
        <w:t>4. Плата за нестандартне приєднання до електричних мереж систем розподілу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251"/>
      <w:bookmarkEnd w:id="99"/>
      <w:r w:rsidRPr="00AE4E6A">
        <w:rPr>
          <w:rFonts w:ascii="Times New Roman" w:eastAsia="Times New Roman" w:hAnsi="Times New Roman" w:cs="Times New Roman"/>
          <w:color w:val="333333"/>
          <w:sz w:val="24"/>
          <w:szCs w:val="24"/>
          <w:lang w:eastAsia="uk-UA"/>
        </w:rPr>
        <w:t>4.1. Розрахунок плати за нестандартне приєднання до електричних мереж оператора системи розподілу передбачає:</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252"/>
      <w:bookmarkEnd w:id="100"/>
      <w:r w:rsidRPr="00AE4E6A">
        <w:rPr>
          <w:rFonts w:ascii="Times New Roman" w:eastAsia="Times New Roman" w:hAnsi="Times New Roman" w:cs="Times New Roman"/>
          <w:color w:val="333333"/>
          <w:sz w:val="24"/>
          <w:szCs w:val="24"/>
          <w:lang w:eastAsia="uk-UA"/>
        </w:rPr>
        <w:t>складову плати за приєднання потужності (ураховуючи потужність, що створюється), яка визначається як добуток величини замовленої до приєднання потужності та ставки плати за нестандартне приєднання потужності;</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253"/>
      <w:bookmarkEnd w:id="101"/>
      <w:r w:rsidRPr="00AE4E6A">
        <w:rPr>
          <w:rFonts w:ascii="Times New Roman" w:eastAsia="Times New Roman" w:hAnsi="Times New Roman" w:cs="Times New Roman"/>
          <w:color w:val="333333"/>
          <w:sz w:val="24"/>
          <w:szCs w:val="24"/>
          <w:lang w:eastAsia="uk-UA"/>
        </w:rPr>
        <w:t>складову плати за створення електричних мереж лінійної частини приєднання.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344"/>
      <w:bookmarkEnd w:id="102"/>
      <w:r w:rsidRPr="00AE4E6A">
        <w:rPr>
          <w:rFonts w:ascii="Times New Roman" w:eastAsia="Times New Roman" w:hAnsi="Times New Roman" w:cs="Times New Roman"/>
          <w:color w:val="333333"/>
          <w:sz w:val="24"/>
          <w:szCs w:val="24"/>
          <w:lang w:eastAsia="uk-UA"/>
        </w:rPr>
        <w:t>4.2. Для розрахунку ставок плати за нестандартне приєднання потужності та дефіциту або профіциту коштів щодо надходжень та витрат, пов'язаних з наданням послуг з нестандартних приєднань, оператор системи розподілу формує розширений звіт за формою, наведеною в </w:t>
      </w:r>
      <w:hyperlink r:id="rId72" w:anchor="n146" w:history="1">
        <w:r w:rsidRPr="00AE4E6A">
          <w:rPr>
            <w:rFonts w:ascii="Times New Roman" w:eastAsia="Times New Roman" w:hAnsi="Times New Roman" w:cs="Times New Roman"/>
            <w:color w:val="0000FF"/>
            <w:sz w:val="24"/>
            <w:szCs w:val="24"/>
            <w:u w:val="single"/>
            <w:lang w:eastAsia="uk-UA"/>
          </w:rPr>
          <w:t>додатку 1</w:t>
        </w:r>
      </w:hyperlink>
      <w:r w:rsidRPr="00AE4E6A">
        <w:rPr>
          <w:rFonts w:ascii="Times New Roman" w:eastAsia="Times New Roman" w:hAnsi="Times New Roman" w:cs="Times New Roman"/>
          <w:color w:val="333333"/>
          <w:sz w:val="24"/>
          <w:szCs w:val="24"/>
          <w:lang w:eastAsia="uk-UA"/>
        </w:rPr>
        <w:t> до цієї Методики (з урахуванням граф 64-108), із зазначенням фактичних витрат (без ПДВ) на приєднання електроустановок замовників, які за ознаками відповідають нестандартним приєднанням, та пояснювальну записку, що містить обґрунтування витрат та розрахунків коефіцієнтів завантаження трансформаторних підстанцій основної мережі напругою 35-110 (154) кВ оператора системи розподілу, розрахованих відповідно до вимог </w:t>
      </w:r>
      <w:hyperlink r:id="rId73" w:anchor="n267" w:history="1">
        <w:r w:rsidRPr="00AE4E6A">
          <w:rPr>
            <w:rFonts w:ascii="Times New Roman" w:eastAsia="Times New Roman" w:hAnsi="Times New Roman" w:cs="Times New Roman"/>
            <w:color w:val="0000FF"/>
            <w:sz w:val="24"/>
            <w:szCs w:val="24"/>
            <w:u w:val="single"/>
            <w:lang w:eastAsia="uk-UA"/>
          </w:rPr>
          <w:t>глави 5</w:t>
        </w:r>
      </w:hyperlink>
      <w:r w:rsidRPr="00AE4E6A">
        <w:rPr>
          <w:rFonts w:ascii="Times New Roman" w:eastAsia="Times New Roman" w:hAnsi="Times New Roman" w:cs="Times New Roman"/>
          <w:color w:val="333333"/>
          <w:sz w:val="24"/>
          <w:szCs w:val="24"/>
          <w:lang w:eastAsia="uk-UA"/>
        </w:rPr>
        <w:t> цієї Методики (для кожної територіальної одиниці оператора системи розподілу).</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 w:name="n349"/>
      <w:bookmarkEnd w:id="103"/>
      <w:r w:rsidRPr="00AE4E6A">
        <w:rPr>
          <w:rFonts w:ascii="Times New Roman" w:eastAsia="Times New Roman" w:hAnsi="Times New Roman" w:cs="Times New Roman"/>
          <w:i/>
          <w:iCs/>
          <w:color w:val="333333"/>
          <w:sz w:val="24"/>
          <w:szCs w:val="24"/>
          <w:shd w:val="clear" w:color="auto" w:fill="FFFFFF"/>
          <w:lang w:eastAsia="uk-UA"/>
        </w:rPr>
        <w:t>{Пункт 4.2 глави 4 в редакції Постанови Національної комісії, що здійснює державне регулювання у сферах енергетики та комунальних послуг </w:t>
      </w:r>
      <w:hyperlink r:id="rId74" w:anchor="n65"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345"/>
      <w:bookmarkEnd w:id="104"/>
      <w:r w:rsidRPr="00AE4E6A">
        <w:rPr>
          <w:rFonts w:ascii="Times New Roman" w:eastAsia="Times New Roman" w:hAnsi="Times New Roman" w:cs="Times New Roman"/>
          <w:color w:val="333333"/>
          <w:sz w:val="24"/>
          <w:szCs w:val="24"/>
          <w:lang w:eastAsia="uk-UA"/>
        </w:rPr>
        <w:t>4.3. У випадку ненадання оператором системи розподілу інформації щодо фактичних витрат (без ПДВ) на приєднання НКРЕКП затверджує для такого оператора системи розподілу ставки плати за нестандартне приєднання потужності виходячи з наявної інформації попередніх періодів усіх операторів систем розподілу на рівні найнижчих величин відповідних ставок плати за нестандартне приєднання потужності серед усіх інших операторів систем розподілу.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346"/>
      <w:bookmarkEnd w:id="105"/>
      <w:r w:rsidRPr="00AE4E6A">
        <w:rPr>
          <w:rFonts w:ascii="Times New Roman" w:eastAsia="Times New Roman" w:hAnsi="Times New Roman" w:cs="Times New Roman"/>
          <w:color w:val="333333"/>
          <w:sz w:val="24"/>
          <w:szCs w:val="24"/>
          <w:lang w:eastAsia="uk-UA"/>
        </w:rPr>
        <w:t>У разі ненадання операторами систем розподілу даних для розрахунку ставок плати за нестандартне приєднання потужності у вигляді та обсягах, установлених НКРЕКП, розрахунок ставок плати за нестандартне приєднання потужності проводиться на підставі даних, скоригованих НКРЕКП згідно з цією Методикою.</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347"/>
      <w:bookmarkEnd w:id="106"/>
      <w:r w:rsidRPr="00AE4E6A">
        <w:rPr>
          <w:rFonts w:ascii="Times New Roman" w:eastAsia="Times New Roman" w:hAnsi="Times New Roman" w:cs="Times New Roman"/>
          <w:color w:val="333333"/>
          <w:sz w:val="24"/>
          <w:szCs w:val="24"/>
          <w:lang w:eastAsia="uk-UA"/>
        </w:rPr>
        <w:t>Для новоствореного оператора системи розподілу НКРЕКП затверджує ставки плати за нестандартне приєднання потужності на рівні середнього значення за величинами відповідних ставок плати за нестандартне приєднання потужності всіх інших операторів систем розподілу.</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 w:name="n350"/>
      <w:bookmarkEnd w:id="107"/>
      <w:r w:rsidRPr="00AE4E6A">
        <w:rPr>
          <w:rFonts w:ascii="Times New Roman" w:eastAsia="Times New Roman" w:hAnsi="Times New Roman" w:cs="Times New Roman"/>
          <w:i/>
          <w:iCs/>
          <w:color w:val="333333"/>
          <w:sz w:val="24"/>
          <w:szCs w:val="24"/>
          <w:shd w:val="clear" w:color="auto" w:fill="FFFFFF"/>
          <w:lang w:eastAsia="uk-UA"/>
        </w:rPr>
        <w:lastRenderedPageBreak/>
        <w:t>{Пункт 4.3 глави 4 в редакції Постанови Національної комісії, що здійснює державне регулювання у сферах енергетики та комунальних послуг </w:t>
      </w:r>
      <w:hyperlink r:id="rId75" w:anchor="n65"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259"/>
      <w:bookmarkEnd w:id="108"/>
      <w:r w:rsidRPr="00AE4E6A">
        <w:rPr>
          <w:rFonts w:ascii="Times New Roman" w:eastAsia="Times New Roman" w:hAnsi="Times New Roman" w:cs="Times New Roman"/>
          <w:color w:val="333333"/>
          <w:sz w:val="24"/>
          <w:szCs w:val="24"/>
          <w:lang w:eastAsia="uk-UA"/>
        </w:rPr>
        <w:t>4.4. НКРЕКП розглядає та перевіряє надані операторами систем розподілу вихідні дані для розрахунку ставок плати за нестандартне приєднання потужності та пояснювальні записки, здійснює розрахунок значення ставок плати за нестандартне приєднання потужності та встановлює на наступний розрахунковий період для кожного оператора системи розподілу ставки плати за нестандартне приєднання потужності (для кожної територіальної одиниці оператора системи розподілу).</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353"/>
      <w:bookmarkEnd w:id="109"/>
      <w:r w:rsidRPr="00AE4E6A">
        <w:rPr>
          <w:rFonts w:ascii="Times New Roman" w:eastAsia="Times New Roman" w:hAnsi="Times New Roman" w:cs="Times New Roman"/>
          <w:color w:val="333333"/>
          <w:sz w:val="24"/>
          <w:szCs w:val="24"/>
          <w:lang w:eastAsia="uk-UA"/>
        </w:rPr>
        <w:t>4.5. З метою визначення величини дефіциту або профіциту коштів щодо надходжень та витрат, пов'язаних з наданням послуг з нестандартних приєднань, на економічно обґрунтованому рівні НКРЕКП здійснює перевірку та аналіз наданих оператором системи передачі та операторами систем розподілу відповідно до </w:t>
      </w:r>
      <w:hyperlink r:id="rId76" w:anchor="n369" w:history="1">
        <w:r w:rsidRPr="00AE4E6A">
          <w:rPr>
            <w:rFonts w:ascii="Times New Roman" w:eastAsia="Times New Roman" w:hAnsi="Times New Roman" w:cs="Times New Roman"/>
            <w:color w:val="0000FF"/>
            <w:sz w:val="24"/>
            <w:szCs w:val="24"/>
            <w:u w:val="single"/>
            <w:lang w:eastAsia="uk-UA"/>
          </w:rPr>
          <w:t>пункту 1.5</w:t>
        </w:r>
      </w:hyperlink>
      <w:r w:rsidRPr="00AE4E6A">
        <w:rPr>
          <w:rFonts w:ascii="Times New Roman" w:eastAsia="Times New Roman" w:hAnsi="Times New Roman" w:cs="Times New Roman"/>
          <w:color w:val="333333"/>
          <w:sz w:val="24"/>
          <w:szCs w:val="24"/>
          <w:lang w:eastAsia="uk-UA"/>
        </w:rPr>
        <w:t xml:space="preserve"> глави 1 цієї Методики вихідних даних, зокрема шляхом аналізу актів виконаних робіт та </w:t>
      </w:r>
      <w:proofErr w:type="spellStart"/>
      <w:r w:rsidRPr="00AE4E6A">
        <w:rPr>
          <w:rFonts w:ascii="Times New Roman" w:eastAsia="Times New Roman" w:hAnsi="Times New Roman" w:cs="Times New Roman"/>
          <w:color w:val="333333"/>
          <w:sz w:val="24"/>
          <w:szCs w:val="24"/>
          <w:lang w:eastAsia="uk-UA"/>
        </w:rPr>
        <w:t>проєктної</w:t>
      </w:r>
      <w:proofErr w:type="spellEnd"/>
      <w:r w:rsidRPr="00AE4E6A">
        <w:rPr>
          <w:rFonts w:ascii="Times New Roman" w:eastAsia="Times New Roman" w:hAnsi="Times New Roman" w:cs="Times New Roman"/>
          <w:color w:val="333333"/>
          <w:sz w:val="24"/>
          <w:szCs w:val="24"/>
          <w:lang w:eastAsia="uk-UA"/>
        </w:rPr>
        <w:t xml:space="preserve"> документації, пов'язаних із наданням у базовому періоді послуг з приєднання до електричних мереж електроустановок замовників, які відповідають критеріям нестандартного приєднання, окрім приєднань, розрахунок плати за приєднання для яких виконувався без застосування цієї Методики.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354"/>
      <w:bookmarkEnd w:id="110"/>
      <w:r w:rsidRPr="00AE4E6A">
        <w:rPr>
          <w:rFonts w:ascii="Times New Roman" w:eastAsia="Times New Roman" w:hAnsi="Times New Roman" w:cs="Times New Roman"/>
          <w:color w:val="333333"/>
          <w:sz w:val="24"/>
          <w:szCs w:val="24"/>
          <w:lang w:eastAsia="uk-UA"/>
        </w:rPr>
        <w:t>Проведення оператором системи розподілу розрахунку дефіциту або профіциту коштів щодо надходжень та витрат, пов'язаних з наданням послуг з приєднання, згідно з </w:t>
      </w:r>
      <w:hyperlink r:id="rId77" w:anchor="n369" w:history="1">
        <w:r w:rsidRPr="00AE4E6A">
          <w:rPr>
            <w:rFonts w:ascii="Times New Roman" w:eastAsia="Times New Roman" w:hAnsi="Times New Roman" w:cs="Times New Roman"/>
            <w:color w:val="0000FF"/>
            <w:sz w:val="24"/>
            <w:szCs w:val="24"/>
            <w:u w:val="single"/>
            <w:lang w:eastAsia="uk-UA"/>
          </w:rPr>
          <w:t>пунктом 1.5</w:t>
        </w:r>
      </w:hyperlink>
      <w:r w:rsidRPr="00AE4E6A">
        <w:rPr>
          <w:rFonts w:ascii="Times New Roman" w:eastAsia="Times New Roman" w:hAnsi="Times New Roman" w:cs="Times New Roman"/>
          <w:color w:val="333333"/>
          <w:sz w:val="24"/>
          <w:szCs w:val="24"/>
          <w:lang w:eastAsia="uk-UA"/>
        </w:rPr>
        <w:t> глави 1 цієї Методики має здійснюватися без застосування коефіцієнта оптимізації коштів.</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 w:name="n355"/>
      <w:bookmarkEnd w:id="111"/>
      <w:r w:rsidRPr="00AE4E6A">
        <w:rPr>
          <w:rFonts w:ascii="Times New Roman" w:eastAsia="Times New Roman" w:hAnsi="Times New Roman" w:cs="Times New Roman"/>
          <w:i/>
          <w:iCs/>
          <w:color w:val="333333"/>
          <w:sz w:val="24"/>
          <w:szCs w:val="24"/>
          <w:shd w:val="clear" w:color="auto" w:fill="FFFFFF"/>
          <w:lang w:eastAsia="uk-UA"/>
        </w:rPr>
        <w:t>{Пункт 4.5 глави 4 в редакції Постанови Національної комісії, що здійснює державне регулювання у сферах енергетики та комунальних послуг </w:t>
      </w:r>
      <w:hyperlink r:id="rId78" w:anchor="n70"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261"/>
      <w:bookmarkEnd w:id="112"/>
      <w:r w:rsidRPr="00AE4E6A">
        <w:rPr>
          <w:rFonts w:ascii="Times New Roman" w:eastAsia="Times New Roman" w:hAnsi="Times New Roman" w:cs="Times New Roman"/>
          <w:color w:val="333333"/>
          <w:sz w:val="24"/>
          <w:szCs w:val="24"/>
          <w:lang w:eastAsia="uk-UA"/>
        </w:rPr>
        <w:t xml:space="preserve">4.6. Якщо замовник на підставі отриманих технічних умов на нестандартне приєднання забезпечив розроблення та узгодження з оператором системи розподілу та іншими заінтересованими сторонами </w:t>
      </w:r>
      <w:proofErr w:type="spellStart"/>
      <w:r w:rsidRPr="00AE4E6A">
        <w:rPr>
          <w:rFonts w:ascii="Times New Roman" w:eastAsia="Times New Roman" w:hAnsi="Times New Roman" w:cs="Times New Roman"/>
          <w:color w:val="333333"/>
          <w:sz w:val="24"/>
          <w:szCs w:val="24"/>
          <w:lang w:eastAsia="uk-UA"/>
        </w:rPr>
        <w:t>проєктної</w:t>
      </w:r>
      <w:proofErr w:type="spellEnd"/>
      <w:r w:rsidRPr="00AE4E6A">
        <w:rPr>
          <w:rFonts w:ascii="Times New Roman" w:eastAsia="Times New Roman" w:hAnsi="Times New Roman" w:cs="Times New Roman"/>
          <w:color w:val="333333"/>
          <w:sz w:val="24"/>
          <w:szCs w:val="24"/>
          <w:lang w:eastAsia="uk-UA"/>
        </w:rPr>
        <w:t xml:space="preserve"> документації на будівництво електричних мереж лінійної частини приєднання, сума витрат замовника, пов'язаних з виконанням </w:t>
      </w:r>
      <w:proofErr w:type="spellStart"/>
      <w:r w:rsidRPr="00AE4E6A">
        <w:rPr>
          <w:rFonts w:ascii="Times New Roman" w:eastAsia="Times New Roman" w:hAnsi="Times New Roman" w:cs="Times New Roman"/>
          <w:color w:val="333333"/>
          <w:sz w:val="24"/>
          <w:szCs w:val="24"/>
          <w:lang w:eastAsia="uk-UA"/>
        </w:rPr>
        <w:t>проєктних</w:t>
      </w:r>
      <w:proofErr w:type="spellEnd"/>
      <w:r w:rsidRPr="00AE4E6A">
        <w:rPr>
          <w:rFonts w:ascii="Times New Roman" w:eastAsia="Times New Roman" w:hAnsi="Times New Roman" w:cs="Times New Roman"/>
          <w:color w:val="333333"/>
          <w:sz w:val="24"/>
          <w:szCs w:val="24"/>
          <w:lang w:eastAsia="uk-UA"/>
        </w:rPr>
        <w:t xml:space="preserve"> робіт, виключається із загальної величини плати за нестандартне приєднання.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262"/>
      <w:bookmarkEnd w:id="113"/>
      <w:r w:rsidRPr="00AE4E6A">
        <w:rPr>
          <w:rFonts w:ascii="Times New Roman" w:eastAsia="Times New Roman" w:hAnsi="Times New Roman" w:cs="Times New Roman"/>
          <w:color w:val="333333"/>
          <w:sz w:val="24"/>
          <w:szCs w:val="24"/>
          <w:lang w:eastAsia="uk-UA"/>
        </w:rPr>
        <w:t xml:space="preserve">Підставою виключення суми витрат замовника, пов'язаних з виконанням </w:t>
      </w:r>
      <w:proofErr w:type="spellStart"/>
      <w:r w:rsidRPr="00AE4E6A">
        <w:rPr>
          <w:rFonts w:ascii="Times New Roman" w:eastAsia="Times New Roman" w:hAnsi="Times New Roman" w:cs="Times New Roman"/>
          <w:color w:val="333333"/>
          <w:sz w:val="24"/>
          <w:szCs w:val="24"/>
          <w:lang w:eastAsia="uk-UA"/>
        </w:rPr>
        <w:t>проєктних</w:t>
      </w:r>
      <w:proofErr w:type="spellEnd"/>
      <w:r w:rsidRPr="00AE4E6A">
        <w:rPr>
          <w:rFonts w:ascii="Times New Roman" w:eastAsia="Times New Roman" w:hAnsi="Times New Roman" w:cs="Times New Roman"/>
          <w:color w:val="333333"/>
          <w:sz w:val="24"/>
          <w:szCs w:val="24"/>
          <w:lang w:eastAsia="uk-UA"/>
        </w:rPr>
        <w:t xml:space="preserve"> робіт суб'єктом господарювання, який має право на здійснення відповідного виду діяльності згідно з вимогами законодавства, є акт виконаних робіт на </w:t>
      </w:r>
      <w:proofErr w:type="spellStart"/>
      <w:r w:rsidRPr="00AE4E6A">
        <w:rPr>
          <w:rFonts w:ascii="Times New Roman" w:eastAsia="Times New Roman" w:hAnsi="Times New Roman" w:cs="Times New Roman"/>
          <w:color w:val="333333"/>
          <w:sz w:val="24"/>
          <w:szCs w:val="24"/>
          <w:lang w:eastAsia="uk-UA"/>
        </w:rPr>
        <w:t>проєктування</w:t>
      </w:r>
      <w:proofErr w:type="spellEnd"/>
      <w:r w:rsidRPr="00AE4E6A">
        <w:rPr>
          <w:rFonts w:ascii="Times New Roman" w:eastAsia="Times New Roman" w:hAnsi="Times New Roman" w:cs="Times New Roman"/>
          <w:color w:val="333333"/>
          <w:sz w:val="24"/>
          <w:szCs w:val="24"/>
          <w:lang w:eastAsia="uk-UA"/>
        </w:rPr>
        <w:t xml:space="preserve">, що підтверджує виконання </w:t>
      </w:r>
      <w:proofErr w:type="spellStart"/>
      <w:r w:rsidRPr="00AE4E6A">
        <w:rPr>
          <w:rFonts w:ascii="Times New Roman" w:eastAsia="Times New Roman" w:hAnsi="Times New Roman" w:cs="Times New Roman"/>
          <w:color w:val="333333"/>
          <w:sz w:val="24"/>
          <w:szCs w:val="24"/>
          <w:lang w:eastAsia="uk-UA"/>
        </w:rPr>
        <w:t>проєктних</w:t>
      </w:r>
      <w:proofErr w:type="spellEnd"/>
      <w:r w:rsidRPr="00AE4E6A">
        <w:rPr>
          <w:rFonts w:ascii="Times New Roman" w:eastAsia="Times New Roman" w:hAnsi="Times New Roman" w:cs="Times New Roman"/>
          <w:color w:val="333333"/>
          <w:sz w:val="24"/>
          <w:szCs w:val="24"/>
          <w:lang w:eastAsia="uk-UA"/>
        </w:rPr>
        <w:t xml:space="preserve"> робіт у повному обсязі на підставі укладеного договору на виконання </w:t>
      </w:r>
      <w:proofErr w:type="spellStart"/>
      <w:r w:rsidRPr="00AE4E6A">
        <w:rPr>
          <w:rFonts w:ascii="Times New Roman" w:eastAsia="Times New Roman" w:hAnsi="Times New Roman" w:cs="Times New Roman"/>
          <w:color w:val="333333"/>
          <w:sz w:val="24"/>
          <w:szCs w:val="24"/>
          <w:lang w:eastAsia="uk-UA"/>
        </w:rPr>
        <w:t>проєктно</w:t>
      </w:r>
      <w:proofErr w:type="spellEnd"/>
      <w:r w:rsidRPr="00AE4E6A">
        <w:rPr>
          <w:rFonts w:ascii="Times New Roman" w:eastAsia="Times New Roman" w:hAnsi="Times New Roman" w:cs="Times New Roman"/>
          <w:color w:val="333333"/>
          <w:sz w:val="24"/>
          <w:szCs w:val="24"/>
          <w:lang w:eastAsia="uk-UA"/>
        </w:rPr>
        <w:t>-вишукувальних робіт, додатком до якого є кошторис.</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263"/>
      <w:bookmarkEnd w:id="114"/>
      <w:r w:rsidRPr="00AE4E6A">
        <w:rPr>
          <w:rFonts w:ascii="Times New Roman" w:eastAsia="Times New Roman" w:hAnsi="Times New Roman" w:cs="Times New Roman"/>
          <w:color w:val="333333"/>
          <w:sz w:val="24"/>
          <w:szCs w:val="24"/>
          <w:lang w:eastAsia="uk-UA"/>
        </w:rPr>
        <w:t xml:space="preserve">У разі незгоди з вартістю виконання </w:t>
      </w:r>
      <w:proofErr w:type="spellStart"/>
      <w:r w:rsidRPr="00AE4E6A">
        <w:rPr>
          <w:rFonts w:ascii="Times New Roman" w:eastAsia="Times New Roman" w:hAnsi="Times New Roman" w:cs="Times New Roman"/>
          <w:color w:val="333333"/>
          <w:sz w:val="24"/>
          <w:szCs w:val="24"/>
          <w:lang w:eastAsia="uk-UA"/>
        </w:rPr>
        <w:t>проєктних</w:t>
      </w:r>
      <w:proofErr w:type="spellEnd"/>
      <w:r w:rsidRPr="00AE4E6A">
        <w:rPr>
          <w:rFonts w:ascii="Times New Roman" w:eastAsia="Times New Roman" w:hAnsi="Times New Roman" w:cs="Times New Roman"/>
          <w:color w:val="333333"/>
          <w:sz w:val="24"/>
          <w:szCs w:val="24"/>
          <w:lang w:eastAsia="uk-UA"/>
        </w:rPr>
        <w:t xml:space="preserve"> робіт оператор системи розподілу або замовник має право звернутися за висновком до державної експертної організації щодо підтвердження/спростування зазначеної вартості в акті виконаних робіт, про що письмово повідомляє замовника або оператора системи розподілу відповідно.</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264"/>
      <w:bookmarkEnd w:id="115"/>
      <w:r w:rsidRPr="00AE4E6A">
        <w:rPr>
          <w:rFonts w:ascii="Times New Roman" w:eastAsia="Times New Roman" w:hAnsi="Times New Roman" w:cs="Times New Roman"/>
          <w:color w:val="333333"/>
          <w:sz w:val="24"/>
          <w:szCs w:val="24"/>
          <w:lang w:eastAsia="uk-UA"/>
        </w:rPr>
        <w:t xml:space="preserve">4.7. За умови забезпечення замовником виконання </w:t>
      </w:r>
      <w:proofErr w:type="spellStart"/>
      <w:r w:rsidRPr="00AE4E6A">
        <w:rPr>
          <w:rFonts w:ascii="Times New Roman" w:eastAsia="Times New Roman" w:hAnsi="Times New Roman" w:cs="Times New Roman"/>
          <w:color w:val="333333"/>
          <w:sz w:val="24"/>
          <w:szCs w:val="24"/>
          <w:lang w:eastAsia="uk-UA"/>
        </w:rPr>
        <w:t>проєктної</w:t>
      </w:r>
      <w:proofErr w:type="spellEnd"/>
      <w:r w:rsidRPr="00AE4E6A">
        <w:rPr>
          <w:rFonts w:ascii="Times New Roman" w:eastAsia="Times New Roman" w:hAnsi="Times New Roman" w:cs="Times New Roman"/>
          <w:color w:val="333333"/>
          <w:sz w:val="24"/>
          <w:szCs w:val="24"/>
          <w:lang w:eastAsia="uk-UA"/>
        </w:rPr>
        <w:t xml:space="preserve"> документації лінійної частини приєднання плата за нестандартне приєднання до електричних мереж оператора системи розподілу передбачає:</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265"/>
      <w:bookmarkEnd w:id="116"/>
      <w:r w:rsidRPr="00AE4E6A">
        <w:rPr>
          <w:rFonts w:ascii="Times New Roman" w:eastAsia="Times New Roman" w:hAnsi="Times New Roman" w:cs="Times New Roman"/>
          <w:color w:val="333333"/>
          <w:sz w:val="24"/>
          <w:szCs w:val="24"/>
          <w:lang w:eastAsia="uk-UA"/>
        </w:rPr>
        <w:t>складову плати за приєднання потужності (ураховуючи потужність, що створюється), яка визначається як добуток величини замовленої до приєднання потужності та ставки плати за нестандартне приєднання потужності;</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266"/>
      <w:bookmarkEnd w:id="117"/>
      <w:r w:rsidRPr="00AE4E6A">
        <w:rPr>
          <w:rFonts w:ascii="Times New Roman" w:eastAsia="Times New Roman" w:hAnsi="Times New Roman" w:cs="Times New Roman"/>
          <w:color w:val="333333"/>
          <w:sz w:val="24"/>
          <w:szCs w:val="24"/>
          <w:lang w:eastAsia="uk-UA"/>
        </w:rPr>
        <w:t xml:space="preserve">складову плати за створення електричних мереж лінійної частини приєднання, що визначається згідно з кошторисом, який є невід'ємною частиною відповідної </w:t>
      </w:r>
      <w:proofErr w:type="spellStart"/>
      <w:r w:rsidRPr="00AE4E6A">
        <w:rPr>
          <w:rFonts w:ascii="Times New Roman" w:eastAsia="Times New Roman" w:hAnsi="Times New Roman" w:cs="Times New Roman"/>
          <w:color w:val="333333"/>
          <w:sz w:val="24"/>
          <w:szCs w:val="24"/>
          <w:lang w:eastAsia="uk-UA"/>
        </w:rPr>
        <w:t>проєктної</w:t>
      </w:r>
      <w:proofErr w:type="spellEnd"/>
      <w:r w:rsidRPr="00AE4E6A">
        <w:rPr>
          <w:rFonts w:ascii="Times New Roman" w:eastAsia="Times New Roman" w:hAnsi="Times New Roman" w:cs="Times New Roman"/>
          <w:color w:val="333333"/>
          <w:sz w:val="24"/>
          <w:szCs w:val="24"/>
          <w:lang w:eastAsia="uk-UA"/>
        </w:rPr>
        <w:t xml:space="preserve"> документації, розробленої замовником з урахуванням вимог </w:t>
      </w:r>
      <w:hyperlink r:id="rId79" w:anchor="n11" w:tgtFrame="_blank" w:history="1">
        <w:r w:rsidRPr="00AE4E6A">
          <w:rPr>
            <w:rFonts w:ascii="Times New Roman" w:eastAsia="Times New Roman" w:hAnsi="Times New Roman" w:cs="Times New Roman"/>
            <w:color w:val="0000FF"/>
            <w:sz w:val="24"/>
            <w:szCs w:val="24"/>
            <w:u w:val="single"/>
            <w:lang w:eastAsia="uk-UA"/>
          </w:rPr>
          <w:t>Кодексу систем розподілу</w:t>
        </w:r>
      </w:hyperlink>
      <w:r w:rsidRPr="00AE4E6A">
        <w:rPr>
          <w:rFonts w:ascii="Times New Roman" w:eastAsia="Times New Roman" w:hAnsi="Times New Roman" w:cs="Times New Roman"/>
          <w:color w:val="333333"/>
          <w:sz w:val="24"/>
          <w:szCs w:val="24"/>
          <w:lang w:eastAsia="uk-UA"/>
        </w:rPr>
        <w:t>.</w:t>
      </w:r>
    </w:p>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8" w:name="n267"/>
      <w:bookmarkEnd w:id="118"/>
      <w:r w:rsidRPr="00AE4E6A">
        <w:rPr>
          <w:rFonts w:ascii="Times New Roman" w:eastAsia="Times New Roman" w:hAnsi="Times New Roman" w:cs="Times New Roman"/>
          <w:b/>
          <w:bCs/>
          <w:color w:val="333333"/>
          <w:sz w:val="28"/>
          <w:szCs w:val="28"/>
          <w:lang w:eastAsia="uk-UA"/>
        </w:rPr>
        <w:lastRenderedPageBreak/>
        <w:t>5. Порядок формування плати за нестандартне приєднання електроустановок до електричних мереж</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268"/>
      <w:bookmarkEnd w:id="119"/>
      <w:r w:rsidRPr="00AE4E6A">
        <w:rPr>
          <w:rFonts w:ascii="Times New Roman" w:eastAsia="Times New Roman" w:hAnsi="Times New Roman" w:cs="Times New Roman"/>
          <w:color w:val="333333"/>
          <w:sz w:val="24"/>
          <w:szCs w:val="24"/>
          <w:lang w:eastAsia="uk-UA"/>
        </w:rPr>
        <w:t>5.1. Плата за нестандартне приєднання «під ключ» </w:t>
      </w:r>
      <w:proofErr w:type="spellStart"/>
      <w:r w:rsidRPr="00AE4E6A">
        <w:rPr>
          <w:rFonts w:ascii="Times New Roman" w:eastAsia="Times New Roman" w:hAnsi="Times New Roman" w:cs="Times New Roman"/>
          <w:b/>
          <w:bCs/>
          <w:color w:val="333333"/>
          <w:sz w:val="24"/>
          <w:szCs w:val="24"/>
          <w:lang w:eastAsia="uk-UA"/>
        </w:rPr>
        <w:t>П</w:t>
      </w:r>
      <w:r w:rsidRPr="00AE4E6A">
        <w:rPr>
          <w:rFonts w:ascii="Times New Roman" w:eastAsia="Times New Roman" w:hAnsi="Times New Roman" w:cs="Times New Roman"/>
          <w:b/>
          <w:bCs/>
          <w:color w:val="333333"/>
          <w:sz w:val="16"/>
          <w:szCs w:val="16"/>
          <w:vertAlign w:val="subscript"/>
          <w:lang w:eastAsia="uk-UA"/>
        </w:rPr>
        <w:t>вст</w:t>
      </w:r>
      <w:proofErr w:type="spellEnd"/>
      <w:r w:rsidRPr="00AE4E6A">
        <w:rPr>
          <w:rFonts w:ascii="Times New Roman" w:eastAsia="Times New Roman" w:hAnsi="Times New Roman" w:cs="Times New Roman"/>
          <w:color w:val="333333"/>
          <w:sz w:val="24"/>
          <w:szCs w:val="24"/>
          <w:lang w:eastAsia="uk-UA"/>
        </w:rPr>
        <w:t> розраховується за формулою</w:t>
      </w:r>
    </w:p>
    <w:tbl>
      <w:tblPr>
        <w:tblW w:w="5000" w:type="pct"/>
        <w:tblCellMar>
          <w:top w:w="60" w:type="dxa"/>
          <w:left w:w="60" w:type="dxa"/>
          <w:bottom w:w="60" w:type="dxa"/>
          <w:right w:w="60" w:type="dxa"/>
        </w:tblCellMar>
        <w:tblLook w:val="04A0" w:firstRow="1" w:lastRow="0" w:firstColumn="1" w:lastColumn="0" w:noHBand="0" w:noVBand="1"/>
      </w:tblPr>
      <w:tblGrid>
        <w:gridCol w:w="365"/>
        <w:gridCol w:w="1140"/>
        <w:gridCol w:w="234"/>
        <w:gridCol w:w="7210"/>
        <w:gridCol w:w="400"/>
      </w:tblGrid>
      <w:tr w:rsidR="00AE4E6A" w:rsidRPr="00AE4E6A" w:rsidTr="00AE4E6A">
        <w:tc>
          <w:tcPr>
            <w:tcW w:w="12315"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lang w:eastAsia="uk-UA"/>
              </w:rPr>
            </w:pPr>
            <w:bookmarkStart w:id="120" w:name="n269"/>
            <w:bookmarkEnd w:id="120"/>
          </w:p>
        </w:tc>
        <w:tc>
          <w:tcPr>
            <w:tcW w:w="36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(6)</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21" w:name="n270"/>
            <w:bookmarkEnd w:id="121"/>
            <w:r w:rsidRPr="00AE4E6A">
              <w:rPr>
                <w:rFonts w:ascii="Times New Roman" w:eastAsia="Times New Roman" w:hAnsi="Times New Roman" w:cs="Times New Roman"/>
                <w:sz w:val="24"/>
                <w:szCs w:val="24"/>
                <w:lang w:eastAsia="uk-UA"/>
              </w:rPr>
              <w:t>де</w:t>
            </w: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b/>
                <w:bCs/>
                <w:sz w:val="24"/>
                <w:szCs w:val="24"/>
                <w:lang w:eastAsia="uk-UA"/>
              </w:rPr>
              <w:t>Р</w:t>
            </w:r>
            <w:r w:rsidRPr="00AE4E6A">
              <w:rPr>
                <w:rFonts w:ascii="Times New Roman" w:eastAsia="Times New Roman" w:hAnsi="Times New Roman" w:cs="Times New Roman"/>
                <w:b/>
                <w:bCs/>
                <w:sz w:val="16"/>
                <w:szCs w:val="16"/>
                <w:vertAlign w:val="subscript"/>
                <w:lang w:eastAsia="uk-UA"/>
              </w:rPr>
              <w:t>заявл</w:t>
            </w:r>
            <w:proofErr w:type="spellEnd"/>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потужність, заявлена до приєднання електроустановок замовника;</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ставка плати за нестандартне приєднання потужності електроустановок, тис. грн/кВт (без ПДВ), визначається за </w:t>
            </w:r>
            <w:hyperlink r:id="rId80" w:anchor="n272" w:history="1">
              <w:r w:rsidRPr="00AE4E6A">
                <w:rPr>
                  <w:rFonts w:ascii="Times New Roman" w:eastAsia="Times New Roman" w:hAnsi="Times New Roman" w:cs="Times New Roman"/>
                  <w:color w:val="0000FF"/>
                  <w:sz w:val="24"/>
                  <w:szCs w:val="24"/>
                  <w:u w:val="single"/>
                  <w:lang w:eastAsia="uk-UA"/>
                </w:rPr>
                <w:t>формулами 7</w:t>
              </w:r>
            </w:hyperlink>
            <w:r w:rsidRPr="00AE4E6A">
              <w:rPr>
                <w:rFonts w:ascii="Times New Roman" w:eastAsia="Times New Roman" w:hAnsi="Times New Roman" w:cs="Times New Roman"/>
                <w:sz w:val="24"/>
                <w:szCs w:val="24"/>
                <w:lang w:eastAsia="uk-UA"/>
              </w:rPr>
              <w:t> та </w:t>
            </w:r>
            <w:hyperlink r:id="rId81" w:anchor="n279" w:history="1">
              <w:r w:rsidRPr="00AE4E6A">
                <w:rPr>
                  <w:rFonts w:ascii="Times New Roman" w:eastAsia="Times New Roman" w:hAnsi="Times New Roman" w:cs="Times New Roman"/>
                  <w:color w:val="0000FF"/>
                  <w:sz w:val="24"/>
                  <w:szCs w:val="24"/>
                  <w:u w:val="single"/>
                  <w:lang w:eastAsia="uk-UA"/>
                </w:rPr>
                <w:t>10</w:t>
              </w:r>
            </w:hyperlink>
            <w:r w:rsidRPr="00AE4E6A">
              <w:rPr>
                <w:rFonts w:ascii="Times New Roman" w:eastAsia="Times New Roman" w:hAnsi="Times New Roman" w:cs="Times New Roman"/>
                <w:sz w:val="24"/>
                <w:szCs w:val="24"/>
                <w:lang w:eastAsia="uk-UA"/>
              </w:rPr>
              <w:t> цієї Методики, встановлюється НКРЕКП та диференціюється за такими індексами:</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w:t>
            </w:r>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категорія надійності електропостачання згідно з ПУЕ, заявлена замовником;</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н</w:t>
            </w:r>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індекс рівня напруги в точці приєднання (0,4 (0,23); 6 (10)20; 27 (35); (110 (154));</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sz w:val="24"/>
                <w:szCs w:val="24"/>
                <w:lang w:eastAsia="uk-UA"/>
              </w:rPr>
              <w:t>зтт</w:t>
            </w:r>
            <w:proofErr w:type="spellEnd"/>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індекс завантаження трансформаторних підстанцій основної мережі напругою 35 - 110(154) кВ оператора системи розподілу в межах територіальної одиниці оператора системи розподілу;</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sz w:val="24"/>
                <w:szCs w:val="24"/>
                <w:lang w:eastAsia="uk-UA"/>
              </w:rPr>
              <w:t>місц</w:t>
            </w:r>
            <w:proofErr w:type="spellEnd"/>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місцезнаходження електроустановок замовника (міська, сільська місцевість);</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sz w:val="24"/>
                <w:szCs w:val="24"/>
                <w:lang w:eastAsia="uk-UA"/>
              </w:rPr>
              <w:t>св</w:t>
            </w:r>
            <w:proofErr w:type="spellEnd"/>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індекс типу електроустановки, що приєднується (с- електроустановка, призначена для споживання електричної енергії; в- електроустановка, призначена для виробництва електричної енергії);</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ставка плати за створення електричних мереж лінійної частини приєднання визначається за </w:t>
            </w:r>
            <w:hyperlink r:id="rId82" w:anchor="n289" w:history="1">
              <w:r w:rsidRPr="00AE4E6A">
                <w:rPr>
                  <w:rFonts w:ascii="Times New Roman" w:eastAsia="Times New Roman" w:hAnsi="Times New Roman" w:cs="Times New Roman"/>
                  <w:color w:val="0000FF"/>
                  <w:sz w:val="24"/>
                  <w:szCs w:val="24"/>
                  <w:u w:val="single"/>
                  <w:lang w:eastAsia="uk-UA"/>
                </w:rPr>
                <w:t>формулою 13</w:t>
              </w:r>
            </w:hyperlink>
            <w:r w:rsidRPr="00AE4E6A">
              <w:rPr>
                <w:rFonts w:ascii="Times New Roman" w:eastAsia="Times New Roman" w:hAnsi="Times New Roman" w:cs="Times New Roman"/>
                <w:sz w:val="24"/>
                <w:szCs w:val="24"/>
                <w:lang w:eastAsia="uk-UA"/>
              </w:rPr>
              <w:t> цієї Методики, встановлюється НКРЕКП та диференціюється за такими індексами:</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л</w:t>
            </w:r>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 xml:space="preserve">індекс типу лінії </w:t>
            </w:r>
            <w:proofErr w:type="spellStart"/>
            <w:r w:rsidRPr="00AE4E6A">
              <w:rPr>
                <w:rFonts w:ascii="Times New Roman" w:eastAsia="Times New Roman" w:hAnsi="Times New Roman" w:cs="Times New Roman"/>
                <w:sz w:val="24"/>
                <w:szCs w:val="24"/>
                <w:lang w:eastAsia="uk-UA"/>
              </w:rPr>
              <w:t>електропередавання</w:t>
            </w:r>
            <w:proofErr w:type="spellEnd"/>
            <w:r w:rsidRPr="00AE4E6A">
              <w:rPr>
                <w:rFonts w:ascii="Times New Roman" w:eastAsia="Times New Roman" w:hAnsi="Times New Roman" w:cs="Times New Roman"/>
                <w:sz w:val="24"/>
                <w:szCs w:val="24"/>
                <w:lang w:eastAsia="uk-UA"/>
              </w:rPr>
              <w:t xml:space="preserve"> (повітряна або кабельна);</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н</w:t>
            </w:r>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індекс рівня напруги в точці приєднання (0,4 (0,23); 6 (10)20; 27 (35); (110 (154));</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sz w:val="24"/>
                <w:szCs w:val="24"/>
                <w:lang w:eastAsia="uk-UA"/>
              </w:rPr>
              <w:t>зем</w:t>
            </w:r>
            <w:proofErr w:type="spellEnd"/>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індекс розташування точки приєднання у відношенні до земельної ділянки замовника;</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4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sz w:val="24"/>
                <w:szCs w:val="24"/>
                <w:lang w:eastAsia="uk-UA"/>
              </w:rPr>
              <w:t>l</w:t>
            </w:r>
            <w:r w:rsidRPr="00AE4E6A">
              <w:rPr>
                <w:rFonts w:ascii="Times New Roman" w:eastAsia="Times New Roman" w:hAnsi="Times New Roman" w:cs="Times New Roman"/>
                <w:b/>
                <w:bCs/>
                <w:sz w:val="16"/>
                <w:szCs w:val="16"/>
                <w:vertAlign w:val="subscript"/>
                <w:lang w:eastAsia="uk-UA"/>
              </w:rPr>
              <w:t>м</w:t>
            </w:r>
            <w:proofErr w:type="spellEnd"/>
          </w:p>
        </w:tc>
        <w:tc>
          <w:tcPr>
            <w:tcW w:w="3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2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відстань по прямій лінії від найближчої (найближчих) точки (точок) в існуючих (діючих) електричних мережах (повітряна лінія, трансформаторна підстанція або розподільний пункт) оператора системи розподілу (ступеня напруги, що відповідає ступеню напруги в точці приєднання) до точки приєднання електроустановок замовника, м.</w:t>
            </w:r>
          </w:p>
        </w:tc>
      </w:tr>
    </w:tbl>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271"/>
      <w:bookmarkEnd w:id="122"/>
      <w:r w:rsidRPr="00AE4E6A">
        <w:rPr>
          <w:rFonts w:ascii="Times New Roman" w:eastAsia="Times New Roman" w:hAnsi="Times New Roman" w:cs="Times New Roman"/>
          <w:color w:val="333333"/>
          <w:sz w:val="24"/>
          <w:szCs w:val="24"/>
          <w:lang w:eastAsia="uk-UA"/>
        </w:rPr>
        <w:lastRenderedPageBreak/>
        <w:t xml:space="preserve">5.2. Ставка плати за нестандартне приєднання потужності </w:t>
      </w:r>
      <w:proofErr w:type="spellStart"/>
      <w:r w:rsidRPr="00AE4E6A">
        <w:rPr>
          <w:rFonts w:ascii="Times New Roman" w:eastAsia="Times New Roman" w:hAnsi="Times New Roman" w:cs="Times New Roman"/>
          <w:color w:val="333333"/>
          <w:sz w:val="24"/>
          <w:szCs w:val="24"/>
          <w:lang w:eastAsia="uk-UA"/>
        </w:rPr>
        <w:t>С</w:t>
      </w:r>
      <w:r w:rsidRPr="00AE4E6A">
        <w:rPr>
          <w:rFonts w:ascii="Times New Roman" w:eastAsia="Times New Roman" w:hAnsi="Times New Roman" w:cs="Times New Roman"/>
          <w:b/>
          <w:bCs/>
          <w:color w:val="333333"/>
          <w:sz w:val="16"/>
          <w:szCs w:val="16"/>
          <w:vertAlign w:val="subscript"/>
          <w:lang w:eastAsia="uk-UA"/>
        </w:rPr>
        <w:t>нст</w:t>
      </w:r>
      <w:r w:rsidRPr="00AE4E6A">
        <w:rPr>
          <w:rFonts w:ascii="Times New Roman" w:eastAsia="Times New Roman" w:hAnsi="Times New Roman" w:cs="Times New Roman"/>
          <w:b/>
          <w:bCs/>
          <w:color w:val="333333"/>
          <w:sz w:val="16"/>
          <w:szCs w:val="16"/>
          <w:vertAlign w:val="superscript"/>
          <w:lang w:eastAsia="uk-UA"/>
        </w:rPr>
        <w:t>к.н.зтт.місц.с</w:t>
      </w:r>
      <w:proofErr w:type="spellEnd"/>
      <w:r w:rsidRPr="00AE4E6A">
        <w:rPr>
          <w:rFonts w:ascii="Times New Roman" w:eastAsia="Times New Roman" w:hAnsi="Times New Roman" w:cs="Times New Roman"/>
          <w:color w:val="333333"/>
          <w:sz w:val="24"/>
          <w:szCs w:val="24"/>
          <w:lang w:eastAsia="uk-UA"/>
        </w:rPr>
        <w:t> для електроустановок, призначених для споживання електричної енергії, встановлюються НКРЕКП на розрахунковий період та розраховуються за формулою</w:t>
      </w:r>
    </w:p>
    <w:tbl>
      <w:tblPr>
        <w:tblW w:w="5000" w:type="pct"/>
        <w:tblCellMar>
          <w:top w:w="60" w:type="dxa"/>
          <w:left w:w="60" w:type="dxa"/>
          <w:bottom w:w="60" w:type="dxa"/>
          <w:right w:w="60" w:type="dxa"/>
        </w:tblCellMar>
        <w:tblLook w:val="04A0" w:firstRow="1" w:lastRow="0" w:firstColumn="1" w:lastColumn="0" w:noHBand="0" w:noVBand="1"/>
      </w:tblPr>
      <w:tblGrid>
        <w:gridCol w:w="389"/>
        <w:gridCol w:w="1042"/>
        <w:gridCol w:w="209"/>
        <w:gridCol w:w="7305"/>
        <w:gridCol w:w="404"/>
      </w:tblGrid>
      <w:tr w:rsidR="00AE4E6A" w:rsidRPr="00AE4E6A" w:rsidTr="00AE4E6A">
        <w:tc>
          <w:tcPr>
            <w:tcW w:w="12270"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lang w:eastAsia="uk-UA"/>
              </w:rPr>
            </w:pPr>
            <w:bookmarkStart w:id="123" w:name="n272"/>
            <w:bookmarkEnd w:id="123"/>
          </w:p>
        </w:tc>
        <w:tc>
          <w:tcPr>
            <w:tcW w:w="40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(7)</w:t>
            </w:r>
          </w:p>
        </w:tc>
      </w:tr>
      <w:tr w:rsidR="00AE4E6A" w:rsidRPr="00AE4E6A" w:rsidTr="00AE4E6A">
        <w:tblPrEx>
          <w:tblCellMar>
            <w:top w:w="15" w:type="dxa"/>
            <w:left w:w="15" w:type="dxa"/>
            <w:bottom w:w="15" w:type="dxa"/>
            <w:right w:w="15" w:type="dxa"/>
          </w:tblCellMar>
        </w:tblPrEx>
        <w:tc>
          <w:tcPr>
            <w:tcW w:w="4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24" w:name="n273"/>
            <w:bookmarkEnd w:id="124"/>
            <w:r w:rsidRPr="00AE4E6A">
              <w:rPr>
                <w:rFonts w:ascii="Times New Roman" w:eastAsia="Times New Roman" w:hAnsi="Times New Roman" w:cs="Times New Roman"/>
                <w:sz w:val="24"/>
                <w:szCs w:val="24"/>
                <w:lang w:eastAsia="uk-UA"/>
              </w:rPr>
              <w:t>де</w:t>
            </w:r>
          </w:p>
        </w:tc>
        <w:tc>
          <w:tcPr>
            <w:tcW w:w="15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25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08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питома вартість приєднання 1 кВт потужності електроустановок замовника, яка розраховується за формулою</w:t>
            </w:r>
          </w:p>
        </w:tc>
      </w:tr>
    </w:tbl>
    <w:p w:rsidR="00AE4E6A" w:rsidRPr="00AE4E6A" w:rsidRDefault="00AE4E6A" w:rsidP="00AE4E6A">
      <w:pPr>
        <w:shd w:val="clear" w:color="auto" w:fill="FFFFFF"/>
        <w:spacing w:after="150" w:line="240" w:lineRule="auto"/>
        <w:jc w:val="both"/>
        <w:rPr>
          <w:rFonts w:ascii="Times New Roman" w:eastAsia="Times New Roman" w:hAnsi="Times New Roman" w:cs="Times New Roman"/>
          <w:vanish/>
          <w:color w:val="333333"/>
          <w:sz w:val="24"/>
          <w:szCs w:val="24"/>
          <w:lang w:eastAsia="uk-UA"/>
        </w:rPr>
      </w:pPr>
      <w:bookmarkStart w:id="125" w:name="n274"/>
      <w:bookmarkEnd w:id="125"/>
    </w:p>
    <w:tbl>
      <w:tblPr>
        <w:tblW w:w="5000" w:type="pct"/>
        <w:tblCellMar>
          <w:top w:w="15" w:type="dxa"/>
          <w:left w:w="15" w:type="dxa"/>
          <w:bottom w:w="15" w:type="dxa"/>
          <w:right w:w="15" w:type="dxa"/>
        </w:tblCellMar>
        <w:tblLook w:val="04A0" w:firstRow="1" w:lastRow="0" w:firstColumn="1" w:lastColumn="0" w:noHBand="0" w:noVBand="1"/>
      </w:tblPr>
      <w:tblGrid>
        <w:gridCol w:w="458"/>
        <w:gridCol w:w="1247"/>
        <w:gridCol w:w="110"/>
        <w:gridCol w:w="7136"/>
        <w:gridCol w:w="398"/>
      </w:tblGrid>
      <w:tr w:rsidR="00AE4E6A" w:rsidRPr="00AE4E6A" w:rsidTr="00AE4E6A">
        <w:tc>
          <w:tcPr>
            <w:tcW w:w="12450"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lang w:eastAsia="uk-UA"/>
              </w:rPr>
            </w:pPr>
          </w:p>
        </w:tc>
        <w:tc>
          <w:tcPr>
            <w:tcW w:w="40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(8)</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26" w:name="n275"/>
            <w:bookmarkEnd w:id="126"/>
            <w:r w:rsidRPr="00AE4E6A">
              <w:rPr>
                <w:rFonts w:ascii="Times New Roman" w:eastAsia="Times New Roman" w:hAnsi="Times New Roman" w:cs="Times New Roman"/>
                <w:sz w:val="24"/>
                <w:szCs w:val="24"/>
                <w:lang w:eastAsia="uk-UA"/>
              </w:rPr>
              <w:t>де</w:t>
            </w: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сума фактичних капітальних витрат (без ПДВ), понесених під час надання послуги за i-те нестандартне приєднання (за об'єктами замовників, приєднання яких завершено у базовому періоді), (значення за рядками графи 80 </w:t>
            </w:r>
            <w:hyperlink r:id="rId83" w:anchor="n146" w:history="1">
              <w:r w:rsidRPr="00AE4E6A">
                <w:rPr>
                  <w:rFonts w:ascii="Times New Roman" w:eastAsia="Times New Roman" w:hAnsi="Times New Roman" w:cs="Times New Roman"/>
                  <w:color w:val="0000FF"/>
                  <w:sz w:val="24"/>
                  <w:szCs w:val="24"/>
                  <w:u w:val="single"/>
                  <w:lang w:eastAsia="uk-UA"/>
                </w:rPr>
                <w:t>додатка 1</w:t>
              </w:r>
            </w:hyperlink>
            <w:r w:rsidRPr="00AE4E6A">
              <w:rPr>
                <w:rFonts w:ascii="Times New Roman" w:eastAsia="Times New Roman" w:hAnsi="Times New Roman" w:cs="Times New Roman"/>
                <w:sz w:val="24"/>
                <w:szCs w:val="24"/>
                <w:lang w:eastAsia="uk-UA"/>
              </w:rPr>
              <w:t> до цієї Методики), тис. грн (без ПДВ);</w:t>
            </w:r>
          </w:p>
        </w:tc>
      </w:tr>
      <w:tr w:rsidR="00AE4E6A" w:rsidRPr="00AE4E6A" w:rsidTr="00AE4E6A">
        <w:tc>
          <w:tcPr>
            <w:tcW w:w="1237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п'ятий пункту 5.2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4" w:anchor="n75"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b/>
                <w:bCs/>
                <w:sz w:val="24"/>
                <w:szCs w:val="24"/>
                <w:lang w:eastAsia="uk-UA"/>
              </w:rPr>
              <w:t>Р</w:t>
            </w:r>
            <w:r w:rsidRPr="00AE4E6A">
              <w:rPr>
                <w:rFonts w:ascii="Times New Roman" w:eastAsia="Times New Roman" w:hAnsi="Times New Roman" w:cs="Times New Roman"/>
                <w:b/>
                <w:bCs/>
                <w:sz w:val="16"/>
                <w:szCs w:val="16"/>
                <w:vertAlign w:val="subscript"/>
                <w:lang w:eastAsia="uk-UA"/>
              </w:rPr>
              <w:t>і</w:t>
            </w:r>
            <w:proofErr w:type="spellEnd"/>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величина замовленої до приєднання потужності i-того нестандартного приєднання за об'єктами замовників, приєднання яких завершено у базовому періоді (значення відповідних рядків графи 12 </w:t>
            </w:r>
            <w:hyperlink r:id="rId85" w:anchor="n146" w:history="1">
              <w:r w:rsidRPr="00AE4E6A">
                <w:rPr>
                  <w:rFonts w:ascii="Times New Roman" w:eastAsia="Times New Roman" w:hAnsi="Times New Roman" w:cs="Times New Roman"/>
                  <w:color w:val="0000FF"/>
                  <w:sz w:val="24"/>
                  <w:szCs w:val="24"/>
                  <w:u w:val="single"/>
                  <w:lang w:eastAsia="uk-UA"/>
                </w:rPr>
                <w:t>додатка 1</w:t>
              </w:r>
            </w:hyperlink>
            <w:r w:rsidRPr="00AE4E6A">
              <w:rPr>
                <w:rFonts w:ascii="Times New Roman" w:eastAsia="Times New Roman" w:hAnsi="Times New Roman" w:cs="Times New Roman"/>
                <w:sz w:val="24"/>
                <w:szCs w:val="24"/>
                <w:lang w:eastAsia="uk-UA"/>
              </w:rPr>
              <w:t> до цієї Методики), кВт;</w:t>
            </w:r>
          </w:p>
        </w:tc>
      </w:tr>
      <w:tr w:rsidR="00AE4E6A" w:rsidRPr="00AE4E6A" w:rsidTr="00AE4E6A">
        <w:tc>
          <w:tcPr>
            <w:tcW w:w="1237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шостий пункту 5.2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 w:anchor="n76"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b/>
                <w:bCs/>
                <w:sz w:val="24"/>
                <w:szCs w:val="24"/>
                <w:lang w:eastAsia="uk-UA"/>
              </w:rPr>
              <w:t>К</w:t>
            </w:r>
            <w:r w:rsidRPr="00AE4E6A">
              <w:rPr>
                <w:rFonts w:ascii="Times New Roman" w:eastAsia="Times New Roman" w:hAnsi="Times New Roman" w:cs="Times New Roman"/>
                <w:b/>
                <w:bCs/>
                <w:sz w:val="16"/>
                <w:szCs w:val="16"/>
                <w:vertAlign w:val="subscript"/>
                <w:lang w:eastAsia="uk-UA"/>
              </w:rPr>
              <w:t>к</w:t>
            </w:r>
            <w:proofErr w:type="spellEnd"/>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категорії надійності електропостачання (</w:t>
            </w:r>
            <w:hyperlink r:id="rId87" w:anchor="n152" w:history="1">
              <w:r w:rsidRPr="00AE4E6A">
                <w:rPr>
                  <w:rFonts w:ascii="Times New Roman" w:eastAsia="Times New Roman" w:hAnsi="Times New Roman" w:cs="Times New Roman"/>
                  <w:color w:val="0000FF"/>
                  <w:sz w:val="24"/>
                  <w:szCs w:val="24"/>
                  <w:u w:val="single"/>
                  <w:lang w:eastAsia="uk-UA"/>
                </w:rPr>
                <w:t>додаток 3</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1237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сьомий пункту 5.2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8" w:anchor="n77"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категорії надійності електропостачання i-того нестандартного приєднання за об'єктами замовників, приєднання яких завершено у базовому періоді (</w:t>
            </w:r>
            <w:hyperlink r:id="rId89" w:anchor="n152" w:history="1">
              <w:r w:rsidRPr="00AE4E6A">
                <w:rPr>
                  <w:rFonts w:ascii="Times New Roman" w:eastAsia="Times New Roman" w:hAnsi="Times New Roman" w:cs="Times New Roman"/>
                  <w:color w:val="0000FF"/>
                  <w:sz w:val="24"/>
                  <w:szCs w:val="24"/>
                  <w:u w:val="single"/>
                  <w:lang w:eastAsia="uk-UA"/>
                </w:rPr>
                <w:t>додаток 3</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1237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восьмий пункту 5.2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0" w:anchor="n77"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b/>
                <w:bCs/>
                <w:sz w:val="24"/>
                <w:szCs w:val="24"/>
                <w:lang w:eastAsia="uk-UA"/>
              </w:rPr>
              <w:t>К</w:t>
            </w:r>
            <w:r w:rsidRPr="00AE4E6A">
              <w:rPr>
                <w:rFonts w:ascii="Times New Roman" w:eastAsia="Times New Roman" w:hAnsi="Times New Roman" w:cs="Times New Roman"/>
                <w:b/>
                <w:bCs/>
                <w:sz w:val="16"/>
                <w:szCs w:val="16"/>
                <w:vertAlign w:val="subscript"/>
                <w:lang w:eastAsia="uk-UA"/>
              </w:rPr>
              <w:t>н</w:t>
            </w:r>
            <w:proofErr w:type="spellEnd"/>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ступеня напруги в точці приєднання (110(154)/35/20(10)6/0,4(0,23) кВ) (</w:t>
            </w:r>
            <w:hyperlink r:id="rId91" w:anchor="n155" w:history="1">
              <w:r w:rsidRPr="00AE4E6A">
                <w:rPr>
                  <w:rFonts w:ascii="Times New Roman" w:eastAsia="Times New Roman" w:hAnsi="Times New Roman" w:cs="Times New Roman"/>
                  <w:color w:val="0000FF"/>
                  <w:sz w:val="24"/>
                  <w:szCs w:val="24"/>
                  <w:u w:val="single"/>
                  <w:lang w:eastAsia="uk-UA"/>
                </w:rPr>
                <w:t>додаток 4</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1237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дев'ятий пункту 5.2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 w:anchor="n78"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ступеня напруги в точці i-того нестандартного приєднання (за об'єктами замовників, приєднання яких завершено у базовому періоді) (110(154)/35/20(10)6/0,4(0,23) кВ) (</w:t>
            </w:r>
            <w:hyperlink r:id="rId93" w:anchor="n155" w:history="1">
              <w:r w:rsidRPr="00AE4E6A">
                <w:rPr>
                  <w:rFonts w:ascii="Times New Roman" w:eastAsia="Times New Roman" w:hAnsi="Times New Roman" w:cs="Times New Roman"/>
                  <w:color w:val="0000FF"/>
                  <w:sz w:val="24"/>
                  <w:szCs w:val="24"/>
                  <w:u w:val="single"/>
                  <w:lang w:eastAsia="uk-UA"/>
                </w:rPr>
                <w:t>додаток 4</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1237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десятий пункту 5.2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4" w:anchor="n78"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що враховує місцезнаходження електроустановок замовника (міська або сільська місцевість), визначається згідно з </w:t>
            </w:r>
            <w:hyperlink r:id="rId95" w:anchor="n162" w:history="1">
              <w:r w:rsidRPr="00AE4E6A">
                <w:rPr>
                  <w:rFonts w:ascii="Times New Roman" w:eastAsia="Times New Roman" w:hAnsi="Times New Roman" w:cs="Times New Roman"/>
                  <w:color w:val="0000FF"/>
                  <w:sz w:val="24"/>
                  <w:szCs w:val="24"/>
                  <w:u w:val="single"/>
                  <w:lang w:eastAsia="uk-UA"/>
                </w:rPr>
                <w:t>додатком 6</w:t>
              </w:r>
            </w:hyperlink>
            <w:r w:rsidRPr="00AE4E6A">
              <w:rPr>
                <w:rFonts w:ascii="Times New Roman" w:eastAsia="Times New Roman" w:hAnsi="Times New Roman" w:cs="Times New Roman"/>
                <w:sz w:val="24"/>
                <w:szCs w:val="24"/>
                <w:lang w:eastAsia="uk-UA"/>
              </w:rPr>
              <w:t> до цієї Методики;</w:t>
            </w:r>
          </w:p>
        </w:tc>
      </w:tr>
      <w:tr w:rsidR="00AE4E6A" w:rsidRPr="00AE4E6A" w:rsidTr="00AE4E6A">
        <w:tc>
          <w:tcPr>
            <w:tcW w:w="1237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одинадцятий пункту 5.2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6" w:anchor="n79"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прогнозного індексу зміни цін виробників промислової продукції на розрахунковий період у відношенні до базового періоду. Розмір індексу затверджується відповідною постановою Кабінету Міністрів України про схвалення Прогнозу економічного і соціального розвитку України на розрахунковий період (мінімальний);</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завантаження трансформаторних підстанцій у межах територіальної одиниці і основної мережі напругою 35-110(154) кВ оператора системи розподілу, який розраховується за </w:t>
            </w:r>
            <w:hyperlink r:id="rId97" w:anchor="n282" w:history="1">
              <w:r w:rsidRPr="00AE4E6A">
                <w:rPr>
                  <w:rFonts w:ascii="Times New Roman" w:eastAsia="Times New Roman" w:hAnsi="Times New Roman" w:cs="Times New Roman"/>
                  <w:color w:val="0000FF"/>
                  <w:sz w:val="24"/>
                  <w:szCs w:val="24"/>
                  <w:u w:val="single"/>
                  <w:lang w:eastAsia="uk-UA"/>
                </w:rPr>
                <w:t>формулою 11</w:t>
              </w:r>
            </w:hyperlink>
            <w:r w:rsidRPr="00AE4E6A">
              <w:rPr>
                <w:rFonts w:ascii="Times New Roman" w:eastAsia="Times New Roman" w:hAnsi="Times New Roman" w:cs="Times New Roman"/>
                <w:sz w:val="24"/>
                <w:szCs w:val="24"/>
                <w:lang w:eastAsia="uk-UA"/>
              </w:rPr>
              <w:t> цієї Методики;</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завантаження трансформаторних підстанцій i-того нестандартного приєднання (за об'єктами замовників, приєднання яких завершено у базовому періоді) з урахуванням типу електроустановки (споживання або виробництво електричної енергії);</w:t>
            </w:r>
          </w:p>
        </w:tc>
      </w:tr>
      <w:tr w:rsidR="00AE4E6A" w:rsidRPr="00AE4E6A" w:rsidTr="00AE4E6A">
        <w:tc>
          <w:tcPr>
            <w:tcW w:w="58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87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90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оптимізації коштів щодо витрат, пов'язаних з наданням послуг з нестандартних приєднань електроустановок замовників до електричних мереж за базовий період, який розраховується за формулою</w:t>
            </w:r>
          </w:p>
        </w:tc>
      </w:tr>
    </w:tbl>
    <w:p w:rsidR="00AE4E6A" w:rsidRPr="00AE4E6A" w:rsidRDefault="00AE4E6A" w:rsidP="00AE4E6A">
      <w:pPr>
        <w:shd w:val="clear" w:color="auto" w:fill="FFFFFF"/>
        <w:spacing w:after="150" w:line="240" w:lineRule="auto"/>
        <w:jc w:val="both"/>
        <w:rPr>
          <w:rFonts w:ascii="Times New Roman" w:eastAsia="Times New Roman" w:hAnsi="Times New Roman" w:cs="Times New Roman"/>
          <w:vanish/>
          <w:color w:val="333333"/>
          <w:sz w:val="24"/>
          <w:szCs w:val="24"/>
          <w:lang w:eastAsia="uk-UA"/>
        </w:rPr>
      </w:pPr>
      <w:bookmarkStart w:id="127" w:name="n276"/>
      <w:bookmarkEnd w:id="127"/>
    </w:p>
    <w:tbl>
      <w:tblPr>
        <w:tblW w:w="5000" w:type="pct"/>
        <w:tblCellMar>
          <w:top w:w="60" w:type="dxa"/>
          <w:left w:w="60" w:type="dxa"/>
          <w:bottom w:w="60" w:type="dxa"/>
          <w:right w:w="60" w:type="dxa"/>
        </w:tblCellMar>
        <w:tblLook w:val="04A0" w:firstRow="1" w:lastRow="0" w:firstColumn="1" w:lastColumn="0" w:noHBand="0" w:noVBand="1"/>
      </w:tblPr>
      <w:tblGrid>
        <w:gridCol w:w="402"/>
        <w:gridCol w:w="865"/>
        <w:gridCol w:w="159"/>
        <w:gridCol w:w="7391"/>
        <w:gridCol w:w="532"/>
      </w:tblGrid>
      <w:tr w:rsidR="00AE4E6A" w:rsidRPr="00AE4E6A" w:rsidTr="00AE4E6A">
        <w:tc>
          <w:tcPr>
            <w:tcW w:w="12105"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shd w:val="clear" w:color="auto" w:fill="FFFFFF"/>
                <w:lang w:eastAsia="uk-UA"/>
              </w:rPr>
            </w:pPr>
          </w:p>
        </w:tc>
        <w:tc>
          <w:tcPr>
            <w:tcW w:w="57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(9)</w:t>
            </w:r>
          </w:p>
        </w:tc>
      </w:tr>
      <w:tr w:rsidR="00AE4E6A" w:rsidRPr="00AE4E6A" w:rsidTr="00AE4E6A">
        <w:tblPrEx>
          <w:tblCellMar>
            <w:top w:w="15" w:type="dxa"/>
            <w:left w:w="15" w:type="dxa"/>
            <w:bottom w:w="15" w:type="dxa"/>
            <w:right w:w="15" w:type="dxa"/>
          </w:tblCellMar>
        </w:tblPrEx>
        <w:tc>
          <w:tcPr>
            <w:tcW w:w="46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28" w:name="n277"/>
            <w:bookmarkEnd w:id="128"/>
            <w:r w:rsidRPr="00AE4E6A">
              <w:rPr>
                <w:rFonts w:ascii="Times New Roman" w:eastAsia="Times New Roman" w:hAnsi="Times New Roman" w:cs="Times New Roman"/>
                <w:sz w:val="24"/>
                <w:szCs w:val="24"/>
                <w:lang w:eastAsia="uk-UA"/>
              </w:rPr>
              <w:t>де</w:t>
            </w:r>
          </w:p>
        </w:tc>
        <w:tc>
          <w:tcPr>
            <w:tcW w:w="123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8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89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сума фактичних капітальних витрат (без ПДВ), понесених під час надання послуги за j-те нестандартне приєднання (за об'єктами замовників, приєднання яких завершено у базовому періоді), тис. грн (без ПДВ) (з урахуванням результатів аналізу), по яких проводився аналіз відповідно до </w:t>
            </w:r>
            <w:hyperlink r:id="rId98" w:anchor="n353" w:history="1">
              <w:r w:rsidRPr="00AE4E6A">
                <w:rPr>
                  <w:rFonts w:ascii="Times New Roman" w:eastAsia="Times New Roman" w:hAnsi="Times New Roman" w:cs="Times New Roman"/>
                  <w:color w:val="0000FF"/>
                  <w:sz w:val="24"/>
                  <w:szCs w:val="24"/>
                  <w:u w:val="single"/>
                  <w:lang w:eastAsia="uk-UA"/>
                </w:rPr>
                <w:t>пункту 4.5</w:t>
              </w:r>
            </w:hyperlink>
            <w:r w:rsidRPr="00AE4E6A">
              <w:rPr>
                <w:rFonts w:ascii="Times New Roman" w:eastAsia="Times New Roman" w:hAnsi="Times New Roman" w:cs="Times New Roman"/>
                <w:sz w:val="24"/>
                <w:szCs w:val="24"/>
                <w:lang w:eastAsia="uk-UA"/>
              </w:rPr>
              <w:t> глави 4 цієї Методики;</w:t>
            </w:r>
          </w:p>
        </w:tc>
      </w:tr>
      <w:tr w:rsidR="00AE4E6A" w:rsidRPr="00AE4E6A" w:rsidTr="00AE4E6A">
        <w:tblPrEx>
          <w:tblCellMar>
            <w:top w:w="15" w:type="dxa"/>
            <w:left w:w="15" w:type="dxa"/>
            <w:bottom w:w="15" w:type="dxa"/>
            <w:right w:w="15" w:type="dxa"/>
          </w:tblCellMar>
        </w:tblPrEx>
        <w:tc>
          <w:tcPr>
            <w:tcW w:w="46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123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8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890"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 xml:space="preserve">сума фактичних капітальних витрат (без ПДВ), понесених під час надання послуги за j-те нестандартне приєднання (за об'єктами замовників, приєднання яких завершено у базовому періоді), тис. грн (без ПДВ) </w:t>
            </w:r>
            <w:r w:rsidRPr="00AE4E6A">
              <w:rPr>
                <w:rFonts w:ascii="Times New Roman" w:eastAsia="Times New Roman" w:hAnsi="Times New Roman" w:cs="Times New Roman"/>
                <w:sz w:val="24"/>
                <w:szCs w:val="24"/>
                <w:lang w:eastAsia="uk-UA"/>
              </w:rPr>
              <w:lastRenderedPageBreak/>
              <w:t>(значення за рядками графи 80 </w:t>
            </w:r>
            <w:hyperlink r:id="rId99" w:anchor="n146" w:history="1">
              <w:r w:rsidRPr="00AE4E6A">
                <w:rPr>
                  <w:rFonts w:ascii="Times New Roman" w:eastAsia="Times New Roman" w:hAnsi="Times New Roman" w:cs="Times New Roman"/>
                  <w:color w:val="0000FF"/>
                  <w:sz w:val="24"/>
                  <w:szCs w:val="24"/>
                  <w:u w:val="single"/>
                  <w:lang w:eastAsia="uk-UA"/>
                </w:rPr>
                <w:t>додатка 1</w:t>
              </w:r>
            </w:hyperlink>
            <w:r w:rsidRPr="00AE4E6A">
              <w:rPr>
                <w:rFonts w:ascii="Times New Roman" w:eastAsia="Times New Roman" w:hAnsi="Times New Roman" w:cs="Times New Roman"/>
                <w:sz w:val="24"/>
                <w:szCs w:val="24"/>
                <w:lang w:eastAsia="uk-UA"/>
              </w:rPr>
              <w:t> до цієї Методики), по яких проводився аналіз відповідно до </w:t>
            </w:r>
            <w:hyperlink r:id="rId100" w:anchor="n353" w:history="1">
              <w:r w:rsidRPr="00AE4E6A">
                <w:rPr>
                  <w:rFonts w:ascii="Times New Roman" w:eastAsia="Times New Roman" w:hAnsi="Times New Roman" w:cs="Times New Roman"/>
                  <w:color w:val="0000FF"/>
                  <w:sz w:val="24"/>
                  <w:szCs w:val="24"/>
                  <w:u w:val="single"/>
                  <w:lang w:eastAsia="uk-UA"/>
                </w:rPr>
                <w:t>пункту 4.5</w:t>
              </w:r>
            </w:hyperlink>
            <w:r w:rsidRPr="00AE4E6A">
              <w:rPr>
                <w:rFonts w:ascii="Times New Roman" w:eastAsia="Times New Roman" w:hAnsi="Times New Roman" w:cs="Times New Roman"/>
                <w:sz w:val="24"/>
                <w:szCs w:val="24"/>
                <w:lang w:eastAsia="uk-UA"/>
              </w:rPr>
              <w:t> глави 4 цієї Методики.</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9" w:name="n357"/>
      <w:bookmarkEnd w:id="129"/>
      <w:r w:rsidRPr="00AE4E6A">
        <w:rPr>
          <w:rFonts w:ascii="Times New Roman" w:eastAsia="Times New Roman" w:hAnsi="Times New Roman" w:cs="Times New Roman"/>
          <w:i/>
          <w:iCs/>
          <w:color w:val="333333"/>
          <w:sz w:val="24"/>
          <w:szCs w:val="24"/>
          <w:shd w:val="clear" w:color="auto" w:fill="FFFFFF"/>
          <w:lang w:eastAsia="uk-UA"/>
        </w:rPr>
        <w:lastRenderedPageBreak/>
        <w:t>{Абзац вісімнадцятий пункту 5.2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1" w:anchor="n80"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278"/>
      <w:bookmarkEnd w:id="130"/>
      <w:r w:rsidRPr="00AE4E6A">
        <w:rPr>
          <w:rFonts w:ascii="Times New Roman" w:eastAsia="Times New Roman" w:hAnsi="Times New Roman" w:cs="Times New Roman"/>
          <w:color w:val="333333"/>
          <w:sz w:val="24"/>
          <w:szCs w:val="24"/>
          <w:lang w:eastAsia="uk-UA"/>
        </w:rPr>
        <w:t>5.3. Ставка плати за нестандартне приєднання потужності </w:t>
      </w:r>
      <w:proofErr w:type="spellStart"/>
      <w:r w:rsidRPr="00AE4E6A">
        <w:rPr>
          <w:rFonts w:ascii="Times New Roman" w:eastAsia="Times New Roman" w:hAnsi="Times New Roman" w:cs="Times New Roman"/>
          <w:b/>
          <w:bCs/>
          <w:color w:val="333333"/>
          <w:sz w:val="24"/>
          <w:szCs w:val="24"/>
          <w:lang w:eastAsia="uk-UA"/>
        </w:rPr>
        <w:t>С</w:t>
      </w:r>
      <w:r w:rsidRPr="00AE4E6A">
        <w:rPr>
          <w:rFonts w:ascii="Times New Roman" w:eastAsia="Times New Roman" w:hAnsi="Times New Roman" w:cs="Times New Roman"/>
          <w:b/>
          <w:bCs/>
          <w:color w:val="333333"/>
          <w:sz w:val="16"/>
          <w:szCs w:val="16"/>
          <w:vertAlign w:val="subscript"/>
          <w:lang w:eastAsia="uk-UA"/>
        </w:rPr>
        <w:t>нст</w:t>
      </w:r>
      <w:r w:rsidRPr="00AE4E6A">
        <w:rPr>
          <w:rFonts w:ascii="Times New Roman" w:eastAsia="Times New Roman" w:hAnsi="Times New Roman" w:cs="Times New Roman"/>
          <w:b/>
          <w:bCs/>
          <w:color w:val="333333"/>
          <w:sz w:val="16"/>
          <w:szCs w:val="16"/>
          <w:vertAlign w:val="superscript"/>
          <w:lang w:eastAsia="uk-UA"/>
        </w:rPr>
        <w:t>к.н.зтт.місц.в</w:t>
      </w:r>
      <w:proofErr w:type="spellEnd"/>
      <w:r w:rsidRPr="00AE4E6A">
        <w:rPr>
          <w:rFonts w:ascii="Times New Roman" w:eastAsia="Times New Roman" w:hAnsi="Times New Roman" w:cs="Times New Roman"/>
          <w:color w:val="333333"/>
          <w:sz w:val="24"/>
          <w:szCs w:val="24"/>
          <w:lang w:eastAsia="uk-UA"/>
        </w:rPr>
        <w:t> для електроустановок, призначених для виробництва електричної енергії, встановлюються НКРЕКП на розрахунковий період та розраховуються за формулою</w:t>
      </w:r>
    </w:p>
    <w:tbl>
      <w:tblPr>
        <w:tblW w:w="5000" w:type="pct"/>
        <w:tblCellMar>
          <w:top w:w="60" w:type="dxa"/>
          <w:left w:w="60" w:type="dxa"/>
          <w:bottom w:w="60" w:type="dxa"/>
          <w:right w:w="60" w:type="dxa"/>
        </w:tblCellMar>
        <w:tblLook w:val="04A0" w:firstRow="1" w:lastRow="0" w:firstColumn="1" w:lastColumn="0" w:noHBand="0" w:noVBand="1"/>
      </w:tblPr>
      <w:tblGrid>
        <w:gridCol w:w="8818"/>
        <w:gridCol w:w="531"/>
      </w:tblGrid>
      <w:tr w:rsidR="00AE4E6A" w:rsidRPr="00AE4E6A" w:rsidTr="00AE4E6A">
        <w:tc>
          <w:tcPr>
            <w:tcW w:w="86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lang w:eastAsia="uk-UA"/>
              </w:rPr>
            </w:pPr>
            <w:bookmarkStart w:id="131" w:name="n279"/>
            <w:bookmarkEnd w:id="131"/>
          </w:p>
        </w:tc>
        <w:tc>
          <w:tcPr>
            <w:tcW w:w="48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(10)</w:t>
            </w:r>
          </w:p>
        </w:tc>
      </w:tr>
    </w:tbl>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280"/>
      <w:bookmarkEnd w:id="132"/>
      <w:r w:rsidRPr="00AE4E6A">
        <w:rPr>
          <w:rFonts w:ascii="Times New Roman" w:eastAsia="Times New Roman" w:hAnsi="Times New Roman" w:cs="Times New Roman"/>
          <w:color w:val="333333"/>
          <w:sz w:val="24"/>
          <w:szCs w:val="24"/>
          <w:lang w:eastAsia="uk-UA"/>
        </w:rPr>
        <w:t>Якщо величина виразу (1 - </w:t>
      </w:r>
      <w:proofErr w:type="spellStart"/>
      <w:r w:rsidRPr="00AE4E6A">
        <w:rPr>
          <w:rFonts w:ascii="Times New Roman" w:eastAsia="Times New Roman" w:hAnsi="Times New Roman" w:cs="Times New Roman"/>
          <w:b/>
          <w:bCs/>
          <w:color w:val="333333"/>
          <w:sz w:val="24"/>
          <w:szCs w:val="24"/>
          <w:lang w:eastAsia="uk-UA"/>
        </w:rPr>
        <w:t>К</w:t>
      </w:r>
      <w:r w:rsidRPr="00AE4E6A">
        <w:rPr>
          <w:rFonts w:ascii="Times New Roman" w:eastAsia="Times New Roman" w:hAnsi="Times New Roman" w:cs="Times New Roman"/>
          <w:b/>
          <w:bCs/>
          <w:color w:val="333333"/>
          <w:sz w:val="16"/>
          <w:szCs w:val="16"/>
          <w:vertAlign w:val="superscript"/>
          <w:lang w:eastAsia="uk-UA"/>
        </w:rPr>
        <w:t>і</w:t>
      </w:r>
      <w:r w:rsidRPr="00AE4E6A">
        <w:rPr>
          <w:rFonts w:ascii="Times New Roman" w:eastAsia="Times New Roman" w:hAnsi="Times New Roman" w:cs="Times New Roman"/>
          <w:b/>
          <w:bCs/>
          <w:color w:val="333333"/>
          <w:sz w:val="16"/>
          <w:szCs w:val="16"/>
          <w:vertAlign w:val="subscript"/>
          <w:lang w:eastAsia="uk-UA"/>
        </w:rPr>
        <w:t>ЗТТ</w:t>
      </w:r>
      <w:proofErr w:type="spellEnd"/>
      <w:r w:rsidRPr="00AE4E6A">
        <w:rPr>
          <w:rFonts w:ascii="Times New Roman" w:eastAsia="Times New Roman" w:hAnsi="Times New Roman" w:cs="Times New Roman"/>
          <w:color w:val="333333"/>
          <w:sz w:val="24"/>
          <w:szCs w:val="24"/>
          <w:lang w:eastAsia="uk-UA"/>
        </w:rPr>
        <w:t>) становить менше 0,25 (у тому числі з від'ємним значенням), вона приймається рівною 0,25.</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281"/>
      <w:bookmarkEnd w:id="133"/>
      <w:r w:rsidRPr="00AE4E6A">
        <w:rPr>
          <w:rFonts w:ascii="Times New Roman" w:eastAsia="Times New Roman" w:hAnsi="Times New Roman" w:cs="Times New Roman"/>
          <w:color w:val="333333"/>
          <w:sz w:val="24"/>
          <w:szCs w:val="24"/>
          <w:lang w:eastAsia="uk-UA"/>
        </w:rPr>
        <w:t>5.4. Коефіцієнт завантаження трансформаторних підстанцій у межах територіальної одиниці i </w:t>
      </w:r>
      <w:proofErr w:type="spellStart"/>
      <w:r w:rsidRPr="00AE4E6A">
        <w:rPr>
          <w:rFonts w:ascii="Times New Roman" w:eastAsia="Times New Roman" w:hAnsi="Times New Roman" w:cs="Times New Roman"/>
          <w:b/>
          <w:bCs/>
          <w:color w:val="333333"/>
          <w:sz w:val="24"/>
          <w:szCs w:val="24"/>
          <w:lang w:eastAsia="uk-UA"/>
        </w:rPr>
        <w:t>К</w:t>
      </w:r>
      <w:r w:rsidRPr="00AE4E6A">
        <w:rPr>
          <w:rFonts w:ascii="Times New Roman" w:eastAsia="Times New Roman" w:hAnsi="Times New Roman" w:cs="Times New Roman"/>
          <w:b/>
          <w:bCs/>
          <w:color w:val="333333"/>
          <w:sz w:val="16"/>
          <w:szCs w:val="16"/>
          <w:vertAlign w:val="superscript"/>
          <w:lang w:eastAsia="uk-UA"/>
        </w:rPr>
        <w:t>і</w:t>
      </w:r>
      <w:r w:rsidRPr="00AE4E6A">
        <w:rPr>
          <w:rFonts w:ascii="Times New Roman" w:eastAsia="Times New Roman" w:hAnsi="Times New Roman" w:cs="Times New Roman"/>
          <w:b/>
          <w:bCs/>
          <w:color w:val="333333"/>
          <w:sz w:val="16"/>
          <w:szCs w:val="16"/>
          <w:vertAlign w:val="subscript"/>
          <w:lang w:eastAsia="uk-UA"/>
        </w:rPr>
        <w:t>ЗТТ</w:t>
      </w:r>
      <w:proofErr w:type="spellEnd"/>
      <w:r w:rsidRPr="00AE4E6A">
        <w:rPr>
          <w:rFonts w:ascii="Times New Roman" w:eastAsia="Times New Roman" w:hAnsi="Times New Roman" w:cs="Times New Roman"/>
          <w:color w:val="333333"/>
          <w:sz w:val="24"/>
          <w:szCs w:val="24"/>
          <w:lang w:eastAsia="uk-UA"/>
        </w:rPr>
        <w:t> основної мережі напругою 35 - 110(154) кВ оператора системи розподілу визначається з урахуванням вихідних даних згідно з </w:t>
      </w:r>
      <w:hyperlink r:id="rId102" w:anchor="n165" w:history="1">
        <w:r w:rsidRPr="00AE4E6A">
          <w:rPr>
            <w:rFonts w:ascii="Times New Roman" w:eastAsia="Times New Roman" w:hAnsi="Times New Roman" w:cs="Times New Roman"/>
            <w:color w:val="0000FF"/>
            <w:sz w:val="24"/>
            <w:szCs w:val="24"/>
            <w:u w:val="single"/>
            <w:lang w:eastAsia="uk-UA"/>
          </w:rPr>
          <w:t>додатком 7</w:t>
        </w:r>
      </w:hyperlink>
      <w:r w:rsidRPr="00AE4E6A">
        <w:rPr>
          <w:rFonts w:ascii="Times New Roman" w:eastAsia="Times New Roman" w:hAnsi="Times New Roman" w:cs="Times New Roman"/>
          <w:color w:val="333333"/>
          <w:sz w:val="24"/>
          <w:szCs w:val="24"/>
          <w:lang w:eastAsia="uk-UA"/>
        </w:rPr>
        <w:t> до цієї Методики за формулою</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 w:name="n358"/>
      <w:bookmarkEnd w:id="134"/>
      <w:r w:rsidRPr="00AE4E6A">
        <w:rPr>
          <w:rFonts w:ascii="Times New Roman" w:eastAsia="Times New Roman" w:hAnsi="Times New Roman" w:cs="Times New Roman"/>
          <w:i/>
          <w:iCs/>
          <w:color w:val="333333"/>
          <w:sz w:val="24"/>
          <w:szCs w:val="24"/>
          <w:shd w:val="clear" w:color="auto" w:fill="FFFFFF"/>
          <w:lang w:eastAsia="uk-UA"/>
        </w:rPr>
        <w:t>{Абзац перший пункту 5.4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 w:anchor="n82"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tbl>
      <w:tblPr>
        <w:tblW w:w="5000" w:type="pct"/>
        <w:tblCellMar>
          <w:top w:w="60" w:type="dxa"/>
          <w:left w:w="60" w:type="dxa"/>
          <w:bottom w:w="60" w:type="dxa"/>
          <w:right w:w="60" w:type="dxa"/>
        </w:tblCellMar>
        <w:tblLook w:val="04A0" w:firstRow="1" w:lastRow="0" w:firstColumn="1" w:lastColumn="0" w:noHBand="0" w:noVBand="1"/>
      </w:tblPr>
      <w:tblGrid>
        <w:gridCol w:w="433"/>
        <w:gridCol w:w="1727"/>
        <w:gridCol w:w="110"/>
        <w:gridCol w:w="4150"/>
        <w:gridCol w:w="2929"/>
      </w:tblGrid>
      <w:tr w:rsidR="00AE4E6A" w:rsidRPr="00AE4E6A" w:rsidTr="00AE4E6A">
        <w:tc>
          <w:tcPr>
            <w:tcW w:w="8640"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shd w:val="clear" w:color="auto" w:fill="FFFFFF"/>
                <w:lang w:eastAsia="uk-UA"/>
              </w:rPr>
            </w:pPr>
            <w:bookmarkStart w:id="135" w:name="n282"/>
            <w:bookmarkEnd w:id="135"/>
          </w:p>
        </w:tc>
        <w:tc>
          <w:tcPr>
            <w:tcW w:w="48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(11)</w:t>
            </w:r>
          </w:p>
        </w:tc>
      </w:tr>
      <w:tr w:rsidR="00AE4E6A" w:rsidRPr="00AE4E6A" w:rsidTr="00AE4E6A">
        <w:tblPrEx>
          <w:tblCellMar>
            <w:top w:w="15" w:type="dxa"/>
            <w:left w:w="15" w:type="dxa"/>
            <w:bottom w:w="15" w:type="dxa"/>
            <w:right w:w="15" w:type="dxa"/>
          </w:tblCellMar>
        </w:tblPrEx>
        <w:tc>
          <w:tcPr>
            <w:tcW w:w="52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36" w:name="n283"/>
            <w:bookmarkEnd w:id="136"/>
            <w:r w:rsidRPr="00AE4E6A">
              <w:rPr>
                <w:rFonts w:ascii="Times New Roman" w:eastAsia="Times New Roman" w:hAnsi="Times New Roman" w:cs="Times New Roman"/>
                <w:sz w:val="24"/>
                <w:szCs w:val="24"/>
                <w:lang w:eastAsia="uk-UA"/>
              </w:rPr>
              <w:t>де</w:t>
            </w:r>
          </w:p>
        </w:tc>
        <w:tc>
          <w:tcPr>
            <w:tcW w:w="23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1,2</w:t>
            </w:r>
          </w:p>
        </w:tc>
        <w:tc>
          <w:tcPr>
            <w:tcW w:w="3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67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що враховує нерівномірність добового графіка навантажень трансформаторних підстанцій;</w:t>
            </w:r>
          </w:p>
        </w:tc>
      </w:tr>
      <w:tr w:rsidR="00AE4E6A" w:rsidRPr="00AE4E6A" w:rsidTr="00AE4E6A">
        <w:tblPrEx>
          <w:tblCellMar>
            <w:top w:w="15" w:type="dxa"/>
            <w:left w:w="15" w:type="dxa"/>
            <w:bottom w:w="15" w:type="dxa"/>
            <w:right w:w="15" w:type="dxa"/>
          </w:tblCellMar>
        </w:tblPrEx>
        <w:tc>
          <w:tcPr>
            <w:tcW w:w="52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23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b/>
                <w:bCs/>
                <w:sz w:val="24"/>
                <w:szCs w:val="24"/>
                <w:lang w:eastAsia="uk-UA"/>
              </w:rPr>
              <w:t>W</w:t>
            </w:r>
            <w:r w:rsidRPr="00AE4E6A">
              <w:rPr>
                <w:rFonts w:ascii="Times New Roman" w:eastAsia="Times New Roman" w:hAnsi="Times New Roman" w:cs="Times New Roman"/>
                <w:b/>
                <w:bCs/>
                <w:sz w:val="16"/>
                <w:szCs w:val="16"/>
                <w:vertAlign w:val="superscript"/>
                <w:lang w:eastAsia="uk-UA"/>
              </w:rPr>
              <w:t>i</w:t>
            </w:r>
            <w:r w:rsidRPr="00AE4E6A">
              <w:rPr>
                <w:rFonts w:ascii="Times New Roman" w:eastAsia="Times New Roman" w:hAnsi="Times New Roman" w:cs="Times New Roman"/>
                <w:b/>
                <w:bCs/>
                <w:sz w:val="16"/>
                <w:szCs w:val="16"/>
                <w:vertAlign w:val="subscript"/>
                <w:lang w:eastAsia="uk-UA"/>
              </w:rPr>
              <w:t>тр.35-110(154)кВ</w:t>
            </w:r>
          </w:p>
        </w:tc>
        <w:tc>
          <w:tcPr>
            <w:tcW w:w="3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67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 xml:space="preserve">максимальний за останні три роки сумарний місячний обсяг трансформації електричної енергії на напругу 6(10)20 кВ для трансформаторних підстанцій у межах територіальної одиниці і основної мережі оператора системи розподілу напругою 35-110 (154) кВ, </w:t>
            </w:r>
            <w:proofErr w:type="spellStart"/>
            <w:r w:rsidRPr="00AE4E6A">
              <w:rPr>
                <w:rFonts w:ascii="Times New Roman" w:eastAsia="Times New Roman" w:hAnsi="Times New Roman" w:cs="Times New Roman"/>
                <w:sz w:val="24"/>
                <w:szCs w:val="24"/>
                <w:lang w:eastAsia="uk-UA"/>
              </w:rPr>
              <w:t>МВт•год</w:t>
            </w:r>
            <w:proofErr w:type="spellEnd"/>
            <w:r w:rsidRPr="00AE4E6A">
              <w:rPr>
                <w:rFonts w:ascii="Times New Roman" w:eastAsia="Times New Roman" w:hAnsi="Times New Roman" w:cs="Times New Roman"/>
                <w:sz w:val="24"/>
                <w:szCs w:val="24"/>
                <w:lang w:eastAsia="uk-UA"/>
              </w:rPr>
              <w:t>. Для трансформаторних підстанцій j напругою 110(154)/35/20(10)6 кВ за сумарний місячний обсяг трансформації електричної енергії приймається вся трансформована електрична енергія на напрузі 6(10)20 кВ для трансформаторних підстанцій 110(154)/10 (20)6 кВ та на напрузі 35 кВ та 10(20)6кВ для трансформаторних підстанцій 110(154)/35/10(20)6 кВ як за підстанцією напругою 110(154)/35/20(10)6 кВ, так і трансформована електрична енергія за трансформаторними підстанціями 35/20(10)6 кВ, що за схемою нормального режиму живляться від підстанції j напругою 110(154)/35/20(10)6 кВ, та розраховується за формулою</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7" w:name="n359"/>
      <w:bookmarkEnd w:id="137"/>
      <w:r w:rsidRPr="00AE4E6A">
        <w:rPr>
          <w:rFonts w:ascii="Times New Roman" w:eastAsia="Times New Roman" w:hAnsi="Times New Roman" w:cs="Times New Roman"/>
          <w:i/>
          <w:iCs/>
          <w:color w:val="333333"/>
          <w:sz w:val="24"/>
          <w:szCs w:val="24"/>
          <w:shd w:val="clear" w:color="auto" w:fill="FFFFFF"/>
          <w:lang w:eastAsia="uk-UA"/>
        </w:rPr>
        <w:t>{Абзац четвертий пункту 5.4 глави 5 в редакції Постанови Національної комісії, що здійснює державне регулювання у сферах енергетики та комунальних послуг </w:t>
      </w:r>
      <w:hyperlink r:id="rId104" w:anchor="n83"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tbl>
      <w:tblPr>
        <w:tblW w:w="5000" w:type="pct"/>
        <w:tblCellMar>
          <w:top w:w="60" w:type="dxa"/>
          <w:left w:w="60" w:type="dxa"/>
          <w:bottom w:w="60" w:type="dxa"/>
          <w:right w:w="60" w:type="dxa"/>
        </w:tblCellMar>
        <w:tblLook w:val="04A0" w:firstRow="1" w:lastRow="0" w:firstColumn="1" w:lastColumn="0" w:noHBand="0" w:noVBand="1"/>
      </w:tblPr>
      <w:tblGrid>
        <w:gridCol w:w="452"/>
        <w:gridCol w:w="1718"/>
        <w:gridCol w:w="110"/>
        <w:gridCol w:w="4294"/>
        <w:gridCol w:w="2775"/>
      </w:tblGrid>
      <w:tr w:rsidR="00AE4E6A" w:rsidRPr="00AE4E6A" w:rsidTr="00AE4E6A">
        <w:tc>
          <w:tcPr>
            <w:tcW w:w="8580"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shd w:val="clear" w:color="auto" w:fill="FFFFFF"/>
                <w:lang w:eastAsia="uk-UA"/>
              </w:rPr>
            </w:pPr>
            <w:bookmarkStart w:id="138" w:name="n284"/>
            <w:bookmarkEnd w:id="138"/>
          </w:p>
        </w:tc>
        <w:tc>
          <w:tcPr>
            <w:tcW w:w="5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(12)</w:t>
            </w:r>
          </w:p>
        </w:tc>
      </w:tr>
      <w:tr w:rsidR="00AE4E6A" w:rsidRPr="00AE4E6A" w:rsidTr="00AE4E6A">
        <w:tblPrEx>
          <w:tblCellMar>
            <w:top w:w="15" w:type="dxa"/>
            <w:left w:w="15" w:type="dxa"/>
            <w:bottom w:w="15" w:type="dxa"/>
            <w:right w:w="15" w:type="dxa"/>
          </w:tblCellMar>
        </w:tblPrEx>
        <w:tc>
          <w:tcPr>
            <w:tcW w:w="5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39" w:name="n285"/>
            <w:bookmarkEnd w:id="139"/>
            <w:r w:rsidRPr="00AE4E6A">
              <w:rPr>
                <w:rFonts w:ascii="Times New Roman" w:eastAsia="Times New Roman" w:hAnsi="Times New Roman" w:cs="Times New Roman"/>
                <w:sz w:val="24"/>
                <w:szCs w:val="24"/>
                <w:lang w:eastAsia="uk-UA"/>
              </w:rPr>
              <w:lastRenderedPageBreak/>
              <w:t>де</w:t>
            </w:r>
          </w:p>
        </w:tc>
        <w:tc>
          <w:tcPr>
            <w:tcW w:w="229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31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 xml:space="preserve">місячний обсяг трансформації електричної енергії для трансформаторних підстанцій відповідної напруги в межах територіальної одиниці i, </w:t>
            </w:r>
            <w:proofErr w:type="spellStart"/>
            <w:r w:rsidRPr="00AE4E6A">
              <w:rPr>
                <w:rFonts w:ascii="Times New Roman" w:eastAsia="Times New Roman" w:hAnsi="Times New Roman" w:cs="Times New Roman"/>
                <w:sz w:val="24"/>
                <w:szCs w:val="24"/>
                <w:lang w:eastAsia="uk-UA"/>
              </w:rPr>
              <w:t>МВт•год</w:t>
            </w:r>
            <w:proofErr w:type="spellEnd"/>
            <w:r w:rsidRPr="00AE4E6A">
              <w:rPr>
                <w:rFonts w:ascii="Times New Roman" w:eastAsia="Times New Roman" w:hAnsi="Times New Roman" w:cs="Times New Roman"/>
                <w:sz w:val="24"/>
                <w:szCs w:val="24"/>
                <w:lang w:eastAsia="uk-UA"/>
              </w:rPr>
              <w:t>;</w:t>
            </w:r>
          </w:p>
        </w:tc>
      </w:tr>
      <w:tr w:rsidR="00AE4E6A" w:rsidRPr="00AE4E6A" w:rsidTr="00AE4E6A">
        <w:tblPrEx>
          <w:tblCellMar>
            <w:top w:w="15" w:type="dxa"/>
            <w:left w:w="15" w:type="dxa"/>
            <w:bottom w:w="15" w:type="dxa"/>
            <w:right w:w="15" w:type="dxa"/>
          </w:tblCellMar>
        </w:tblPrEx>
        <w:tc>
          <w:tcPr>
            <w:tcW w:w="5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229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31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сумарний місячний обсяг трансформації електричної енергії за трансформаторними підстанціями 35/20(10)6 кВ, що за схемою нормального режиму живляться від підстанції напругою 110(154)/35/20(10)6 кВ та належать до і-</w:t>
            </w:r>
            <w:proofErr w:type="spellStart"/>
            <w:r w:rsidRPr="00AE4E6A">
              <w:rPr>
                <w:rFonts w:ascii="Times New Roman" w:eastAsia="Times New Roman" w:hAnsi="Times New Roman" w:cs="Times New Roman"/>
                <w:sz w:val="24"/>
                <w:szCs w:val="24"/>
                <w:lang w:eastAsia="uk-UA"/>
              </w:rPr>
              <w:t>их</w:t>
            </w:r>
            <w:proofErr w:type="spellEnd"/>
            <w:r w:rsidRPr="00AE4E6A">
              <w:rPr>
                <w:rFonts w:ascii="Times New Roman" w:eastAsia="Times New Roman" w:hAnsi="Times New Roman" w:cs="Times New Roman"/>
                <w:sz w:val="24"/>
                <w:szCs w:val="24"/>
                <w:lang w:eastAsia="uk-UA"/>
              </w:rPr>
              <w:t xml:space="preserve"> територіальних одиниць, </w:t>
            </w:r>
            <w:proofErr w:type="spellStart"/>
            <w:r w:rsidRPr="00AE4E6A">
              <w:rPr>
                <w:rFonts w:ascii="Times New Roman" w:eastAsia="Times New Roman" w:hAnsi="Times New Roman" w:cs="Times New Roman"/>
                <w:sz w:val="24"/>
                <w:szCs w:val="24"/>
                <w:lang w:eastAsia="uk-UA"/>
              </w:rPr>
              <w:t>МВт•год</w:t>
            </w:r>
            <w:proofErr w:type="spellEnd"/>
            <w:r w:rsidRPr="00AE4E6A">
              <w:rPr>
                <w:rFonts w:ascii="Times New Roman" w:eastAsia="Times New Roman" w:hAnsi="Times New Roman" w:cs="Times New Roman"/>
                <w:sz w:val="24"/>
                <w:szCs w:val="24"/>
                <w:lang w:eastAsia="uk-UA"/>
              </w:rPr>
              <w:t>;</w:t>
            </w:r>
          </w:p>
        </w:tc>
      </w:tr>
      <w:tr w:rsidR="00AE4E6A" w:rsidRPr="00AE4E6A" w:rsidTr="00AE4E6A">
        <w:tblPrEx>
          <w:tblCellMar>
            <w:top w:w="15" w:type="dxa"/>
            <w:left w:w="15" w:type="dxa"/>
            <w:bottom w:w="15" w:type="dxa"/>
            <w:right w:w="15" w:type="dxa"/>
          </w:tblCellMar>
        </w:tblPrEx>
        <w:tc>
          <w:tcPr>
            <w:tcW w:w="5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229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N</w:t>
            </w: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31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кількість годин у місяці максимального місячного обсягу електричної енергії для трансформаторних підстанцій у межах територіальної одиниці i основної мережі оператора системи розподілу напругою 35 - 110(154) кВ;</w:t>
            </w:r>
          </w:p>
        </w:tc>
      </w:tr>
      <w:tr w:rsidR="00AE4E6A" w:rsidRPr="00AE4E6A" w:rsidTr="00AE4E6A">
        <w:tblPrEx>
          <w:tblCellMar>
            <w:top w:w="15" w:type="dxa"/>
            <w:left w:w="15" w:type="dxa"/>
            <w:bottom w:w="15" w:type="dxa"/>
            <w:right w:w="15" w:type="dxa"/>
          </w:tblCellMar>
        </w:tblPrEx>
        <w:tc>
          <w:tcPr>
            <w:tcW w:w="5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229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0,7</w:t>
            </w: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31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резервування потужності, що враховує вимоги щодо безперебійного забезпечення електричною енергією користувачів системи розподілу, електроустановки яких приєднані до трансформаторних підстанцій основної мережі оператора системи розподілу напругою 35 - 110(154) кВ, та нерівномірність навантаження трансформаторних підстанцій основної мережі оператора системи розподілу напругою 35 - 110(154) кВ у межах територіальної одиниці i;</w:t>
            </w:r>
          </w:p>
        </w:tc>
      </w:tr>
      <w:tr w:rsidR="00AE4E6A" w:rsidRPr="00AE4E6A" w:rsidTr="00AE4E6A">
        <w:tblPrEx>
          <w:tblCellMar>
            <w:top w:w="15" w:type="dxa"/>
            <w:left w:w="15" w:type="dxa"/>
            <w:bottom w:w="15" w:type="dxa"/>
            <w:right w:w="15" w:type="dxa"/>
          </w:tblCellMar>
        </w:tblPrEx>
        <w:tc>
          <w:tcPr>
            <w:tcW w:w="5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229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sz w:val="24"/>
                <w:szCs w:val="24"/>
                <w:lang w:eastAsia="uk-UA"/>
              </w:rPr>
              <w:t>cos</w:t>
            </w:r>
            <w:proofErr w:type="spellEnd"/>
            <w:r w:rsidRPr="00AE4E6A">
              <w:rPr>
                <w:rFonts w:ascii="Times New Roman" w:eastAsia="Times New Roman" w:hAnsi="Times New Roman" w:cs="Times New Roman"/>
                <w:sz w:val="24"/>
                <w:szCs w:val="24"/>
                <w:lang w:eastAsia="uk-UA"/>
              </w:rPr>
              <w:t xml:space="preserve"> (f) = 0,97</w:t>
            </w: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31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потужності;</w:t>
            </w:r>
          </w:p>
        </w:tc>
      </w:tr>
      <w:tr w:rsidR="00AE4E6A" w:rsidRPr="00AE4E6A" w:rsidTr="00AE4E6A">
        <w:tblPrEx>
          <w:tblCellMar>
            <w:top w:w="15" w:type="dxa"/>
            <w:left w:w="15" w:type="dxa"/>
            <w:bottom w:w="15" w:type="dxa"/>
            <w:right w:w="15" w:type="dxa"/>
          </w:tblCellMar>
        </w:tblPrEx>
        <w:tc>
          <w:tcPr>
            <w:tcW w:w="12165"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десятий пункту 5.4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5" w:anchor="n87"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blPrEx>
          <w:tblCellMar>
            <w:top w:w="15" w:type="dxa"/>
            <w:left w:w="15" w:type="dxa"/>
            <w:bottom w:w="15" w:type="dxa"/>
            <w:right w:w="15" w:type="dxa"/>
          </w:tblCellMar>
        </w:tblPrEx>
        <w:tc>
          <w:tcPr>
            <w:tcW w:w="54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229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931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загальна номінальна потужність усіх трансформаторів для трансформаторних підстанцій у межах територіальної одиниці i, безпосередньо приєднаних до електричних мереж високої напруги, без урахування трансформаторів, що задіяні в повторній трансформації (на кінець базового періоду), МВА.</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 w:name="n360"/>
      <w:bookmarkEnd w:id="140"/>
      <w:r w:rsidRPr="00AE4E6A">
        <w:rPr>
          <w:rFonts w:ascii="Times New Roman" w:eastAsia="Times New Roman" w:hAnsi="Times New Roman" w:cs="Times New Roman"/>
          <w:i/>
          <w:iCs/>
          <w:color w:val="333333"/>
          <w:sz w:val="24"/>
          <w:szCs w:val="24"/>
          <w:shd w:val="clear" w:color="auto" w:fill="FFFFFF"/>
          <w:lang w:eastAsia="uk-UA"/>
        </w:rPr>
        <w:t>{Абзац одинадцятий пункту 5.4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6" w:anchor="n88"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286"/>
      <w:bookmarkEnd w:id="141"/>
      <w:r w:rsidRPr="00AE4E6A">
        <w:rPr>
          <w:rFonts w:ascii="Times New Roman" w:eastAsia="Times New Roman" w:hAnsi="Times New Roman" w:cs="Times New Roman"/>
          <w:color w:val="333333"/>
          <w:sz w:val="24"/>
          <w:szCs w:val="24"/>
          <w:lang w:eastAsia="uk-UA"/>
        </w:rPr>
        <w:t>Якщо розрахований за </w:t>
      </w:r>
      <w:hyperlink r:id="rId107" w:anchor="n276" w:history="1">
        <w:r w:rsidRPr="00AE4E6A">
          <w:rPr>
            <w:rFonts w:ascii="Times New Roman" w:eastAsia="Times New Roman" w:hAnsi="Times New Roman" w:cs="Times New Roman"/>
            <w:color w:val="0000FF"/>
            <w:sz w:val="24"/>
            <w:szCs w:val="24"/>
            <w:u w:val="single"/>
            <w:lang w:eastAsia="uk-UA"/>
          </w:rPr>
          <w:t>формулою 9</w:t>
        </w:r>
      </w:hyperlink>
      <w:r w:rsidRPr="00AE4E6A">
        <w:rPr>
          <w:rFonts w:ascii="Times New Roman" w:eastAsia="Times New Roman" w:hAnsi="Times New Roman" w:cs="Times New Roman"/>
          <w:color w:val="333333"/>
          <w:sz w:val="24"/>
          <w:szCs w:val="24"/>
          <w:lang w:eastAsia="uk-UA"/>
        </w:rPr>
        <w:t> цієї Методики коефіцієнт завантаження трансформаторної підстанції у межах територіальної одиниці i основної мережі напругою 35 - 110(154) кВ оператора системи розподілу становить більше 1, такий коефіцієнт завантаження трансформаторної підстанції приймається рівним 1.</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287"/>
      <w:bookmarkEnd w:id="142"/>
      <w:r w:rsidRPr="00AE4E6A">
        <w:rPr>
          <w:rFonts w:ascii="Times New Roman" w:eastAsia="Times New Roman" w:hAnsi="Times New Roman" w:cs="Times New Roman"/>
          <w:color w:val="333333"/>
          <w:sz w:val="24"/>
          <w:szCs w:val="24"/>
          <w:lang w:eastAsia="uk-UA"/>
        </w:rPr>
        <w:t>Для оператора системи розподілу, у якого відсутні у власності або користуванні трансформаторні підстанції основної мережі напругою 35 - 110(154) кВ, </w:t>
      </w:r>
      <w:proofErr w:type="spellStart"/>
      <w:r w:rsidRPr="00AE4E6A">
        <w:rPr>
          <w:rFonts w:ascii="Times New Roman" w:eastAsia="Times New Roman" w:hAnsi="Times New Roman" w:cs="Times New Roman"/>
          <w:b/>
          <w:bCs/>
          <w:color w:val="333333"/>
          <w:sz w:val="24"/>
          <w:szCs w:val="24"/>
          <w:lang w:eastAsia="uk-UA"/>
        </w:rPr>
        <w:t>К</w:t>
      </w:r>
      <w:r w:rsidRPr="00AE4E6A">
        <w:rPr>
          <w:rFonts w:ascii="Times New Roman" w:eastAsia="Times New Roman" w:hAnsi="Times New Roman" w:cs="Times New Roman"/>
          <w:b/>
          <w:bCs/>
          <w:color w:val="333333"/>
          <w:sz w:val="16"/>
          <w:szCs w:val="16"/>
          <w:vertAlign w:val="superscript"/>
          <w:lang w:eastAsia="uk-UA"/>
        </w:rPr>
        <w:t>і</w:t>
      </w:r>
      <w:r w:rsidRPr="00AE4E6A">
        <w:rPr>
          <w:rFonts w:ascii="Times New Roman" w:eastAsia="Times New Roman" w:hAnsi="Times New Roman" w:cs="Times New Roman"/>
          <w:b/>
          <w:bCs/>
          <w:color w:val="333333"/>
          <w:sz w:val="16"/>
          <w:szCs w:val="16"/>
          <w:vertAlign w:val="subscript"/>
          <w:lang w:eastAsia="uk-UA"/>
        </w:rPr>
        <w:t>ЗТТ</w:t>
      </w:r>
      <w:proofErr w:type="spellEnd"/>
      <w:r w:rsidRPr="00AE4E6A">
        <w:rPr>
          <w:rFonts w:ascii="Times New Roman" w:eastAsia="Times New Roman" w:hAnsi="Times New Roman" w:cs="Times New Roman"/>
          <w:color w:val="333333"/>
          <w:sz w:val="24"/>
          <w:szCs w:val="24"/>
          <w:lang w:eastAsia="uk-UA"/>
        </w:rPr>
        <w:t xml:space="preserve"> у межах відповідної територіальної одиниці такого оператора системи розподілу приймаються рівними відповідним коефіцієнтам завантаження трансформаторних підстанцій у межах територіальної одиниці основної мережі напругою 35 - 110(154) кВ суміжного оператора системи розподілу, до електричних мереж якого приєднані електричні мережі оператора </w:t>
      </w:r>
      <w:r w:rsidRPr="00AE4E6A">
        <w:rPr>
          <w:rFonts w:ascii="Times New Roman" w:eastAsia="Times New Roman" w:hAnsi="Times New Roman" w:cs="Times New Roman"/>
          <w:color w:val="333333"/>
          <w:sz w:val="24"/>
          <w:szCs w:val="24"/>
          <w:lang w:eastAsia="uk-UA"/>
        </w:rPr>
        <w:lastRenderedPageBreak/>
        <w:t>системи розподілу, у якого відсутні у власності або користуванні трансформаторні підстанції основної мережі напругою 35 - 110(154) кВ.</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288"/>
      <w:bookmarkEnd w:id="143"/>
      <w:r w:rsidRPr="00AE4E6A">
        <w:rPr>
          <w:rFonts w:ascii="Times New Roman" w:eastAsia="Times New Roman" w:hAnsi="Times New Roman" w:cs="Times New Roman"/>
          <w:color w:val="333333"/>
          <w:sz w:val="24"/>
          <w:szCs w:val="24"/>
          <w:lang w:eastAsia="uk-UA"/>
        </w:rPr>
        <w:t>5.5. Ставка плати за створення електричних мереж лінійної частини приєднання </w:t>
      </w:r>
      <w:proofErr w:type="spellStart"/>
      <w:r w:rsidRPr="00AE4E6A">
        <w:rPr>
          <w:rFonts w:ascii="Times New Roman" w:eastAsia="Times New Roman" w:hAnsi="Times New Roman" w:cs="Times New Roman"/>
          <w:b/>
          <w:bCs/>
          <w:color w:val="333333"/>
          <w:sz w:val="24"/>
          <w:szCs w:val="24"/>
          <w:lang w:eastAsia="uk-UA"/>
        </w:rPr>
        <w:t>С</w:t>
      </w:r>
      <w:r w:rsidRPr="00AE4E6A">
        <w:rPr>
          <w:rFonts w:ascii="Times New Roman" w:eastAsia="Times New Roman" w:hAnsi="Times New Roman" w:cs="Times New Roman"/>
          <w:b/>
          <w:bCs/>
          <w:color w:val="333333"/>
          <w:sz w:val="16"/>
          <w:szCs w:val="16"/>
          <w:vertAlign w:val="subscript"/>
          <w:lang w:eastAsia="uk-UA"/>
        </w:rPr>
        <w:t>лін</w:t>
      </w:r>
      <w:r w:rsidRPr="00AE4E6A">
        <w:rPr>
          <w:rFonts w:ascii="Times New Roman" w:eastAsia="Times New Roman" w:hAnsi="Times New Roman" w:cs="Times New Roman"/>
          <w:b/>
          <w:bCs/>
          <w:color w:val="333333"/>
          <w:sz w:val="16"/>
          <w:szCs w:val="16"/>
          <w:vertAlign w:val="superscript"/>
          <w:lang w:eastAsia="uk-UA"/>
        </w:rPr>
        <w:t>л.н.зем</w:t>
      </w:r>
      <w:proofErr w:type="spellEnd"/>
      <w:r w:rsidRPr="00AE4E6A">
        <w:rPr>
          <w:rFonts w:ascii="Times New Roman" w:eastAsia="Times New Roman" w:hAnsi="Times New Roman" w:cs="Times New Roman"/>
          <w:color w:val="333333"/>
          <w:sz w:val="24"/>
          <w:szCs w:val="24"/>
          <w:lang w:eastAsia="uk-UA"/>
        </w:rPr>
        <w:t> визначається з урахуванням укрупнених показників вартості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383"/>
        <w:gridCol w:w="710"/>
        <w:gridCol w:w="146"/>
        <w:gridCol w:w="7501"/>
        <w:gridCol w:w="609"/>
      </w:tblGrid>
      <w:tr w:rsidR="00AE4E6A" w:rsidRPr="00AE4E6A" w:rsidTr="00AE4E6A">
        <w:tc>
          <w:tcPr>
            <w:tcW w:w="12195"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lang w:eastAsia="uk-UA"/>
              </w:rPr>
            </w:pPr>
            <w:bookmarkStart w:id="144" w:name="n289"/>
            <w:bookmarkEnd w:id="144"/>
          </w:p>
        </w:tc>
        <w:tc>
          <w:tcPr>
            <w:tcW w:w="66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(13)</w:t>
            </w:r>
          </w:p>
        </w:tc>
      </w:tr>
      <w:tr w:rsidR="00AE4E6A" w:rsidRPr="00AE4E6A" w:rsidTr="00AE4E6A">
        <w:tc>
          <w:tcPr>
            <w:tcW w:w="4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45" w:name="n290"/>
            <w:bookmarkEnd w:id="145"/>
            <w:r w:rsidRPr="00AE4E6A">
              <w:rPr>
                <w:rFonts w:ascii="Times New Roman" w:eastAsia="Times New Roman" w:hAnsi="Times New Roman" w:cs="Times New Roman"/>
                <w:sz w:val="24"/>
                <w:szCs w:val="24"/>
                <w:lang w:eastAsia="uk-UA"/>
              </w:rPr>
              <w:t>де</w:t>
            </w:r>
          </w:p>
        </w:tc>
        <w:tc>
          <w:tcPr>
            <w:tcW w:w="9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6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96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 xml:space="preserve">вартість будівництва лінії(й) </w:t>
            </w:r>
            <w:proofErr w:type="spellStart"/>
            <w:r w:rsidRPr="00AE4E6A">
              <w:rPr>
                <w:rFonts w:ascii="Times New Roman" w:eastAsia="Times New Roman" w:hAnsi="Times New Roman" w:cs="Times New Roman"/>
                <w:sz w:val="24"/>
                <w:szCs w:val="24"/>
                <w:lang w:eastAsia="uk-UA"/>
              </w:rPr>
              <w:t>електропередавання</w:t>
            </w:r>
            <w:proofErr w:type="spellEnd"/>
            <w:r w:rsidRPr="00AE4E6A">
              <w:rPr>
                <w:rFonts w:ascii="Times New Roman" w:eastAsia="Times New Roman" w:hAnsi="Times New Roman" w:cs="Times New Roman"/>
                <w:sz w:val="24"/>
                <w:szCs w:val="24"/>
                <w:lang w:eastAsia="uk-UA"/>
              </w:rPr>
              <w:t xml:space="preserve"> на відповідних ступенях напруги, визначена згідно з СОУ-Н МЕВ 45.2-37472933-44:2016 "Укрупнені показники вартості будівництва підстанцій напругою від 6 кВ до 150 кВ та ліній </w:t>
            </w:r>
            <w:proofErr w:type="spellStart"/>
            <w:r w:rsidRPr="00AE4E6A">
              <w:rPr>
                <w:rFonts w:ascii="Times New Roman" w:eastAsia="Times New Roman" w:hAnsi="Times New Roman" w:cs="Times New Roman"/>
                <w:sz w:val="24"/>
                <w:szCs w:val="24"/>
                <w:lang w:eastAsia="uk-UA"/>
              </w:rPr>
              <w:t>електропередавання</w:t>
            </w:r>
            <w:proofErr w:type="spellEnd"/>
            <w:r w:rsidRPr="00AE4E6A">
              <w:rPr>
                <w:rFonts w:ascii="Times New Roman" w:eastAsia="Times New Roman" w:hAnsi="Times New Roman" w:cs="Times New Roman"/>
                <w:sz w:val="24"/>
                <w:szCs w:val="24"/>
                <w:lang w:eastAsia="uk-UA"/>
              </w:rPr>
              <w:t xml:space="preserve"> напругою від 0,38 кВ до 150 кВ. Норми", затвердженими наказом Міністерства енергетики та вугільної промисловості України від 04 травня 2011 року </w:t>
            </w:r>
            <w:hyperlink r:id="rId108" w:tgtFrame="_blank" w:history="1">
              <w:r w:rsidRPr="00AE4E6A">
                <w:rPr>
                  <w:rFonts w:ascii="Times New Roman" w:eastAsia="Times New Roman" w:hAnsi="Times New Roman" w:cs="Times New Roman"/>
                  <w:color w:val="0000FF"/>
                  <w:sz w:val="24"/>
                  <w:szCs w:val="24"/>
                  <w:u w:val="single"/>
                  <w:lang w:eastAsia="uk-UA"/>
                </w:rPr>
                <w:t>№ 101</w:t>
              </w:r>
            </w:hyperlink>
            <w:r w:rsidRPr="00AE4E6A">
              <w:rPr>
                <w:rFonts w:ascii="Times New Roman" w:eastAsia="Times New Roman" w:hAnsi="Times New Roman" w:cs="Times New Roman"/>
                <w:sz w:val="24"/>
                <w:szCs w:val="24"/>
                <w:lang w:eastAsia="uk-UA"/>
              </w:rPr>
              <w:t>, наведена в </w:t>
            </w:r>
            <w:hyperlink r:id="rId109" w:anchor="n168" w:history="1">
              <w:r w:rsidRPr="00AE4E6A">
                <w:rPr>
                  <w:rFonts w:ascii="Times New Roman" w:eastAsia="Times New Roman" w:hAnsi="Times New Roman" w:cs="Times New Roman"/>
                  <w:color w:val="0000FF"/>
                  <w:sz w:val="24"/>
                  <w:szCs w:val="24"/>
                  <w:u w:val="single"/>
                  <w:lang w:eastAsia="uk-UA"/>
                </w:rPr>
                <w:t>додатку 8</w:t>
              </w:r>
            </w:hyperlink>
            <w:r w:rsidRPr="00AE4E6A">
              <w:rPr>
                <w:rFonts w:ascii="Times New Roman" w:eastAsia="Times New Roman" w:hAnsi="Times New Roman" w:cs="Times New Roman"/>
                <w:sz w:val="24"/>
                <w:szCs w:val="24"/>
                <w:lang w:eastAsia="uk-UA"/>
              </w:rPr>
              <w:t> до цієї Методики, тис. грн/км (без ПДВ);</w:t>
            </w:r>
          </w:p>
        </w:tc>
      </w:tr>
      <w:tr w:rsidR="00AE4E6A" w:rsidRPr="00AE4E6A" w:rsidTr="00AE4E6A">
        <w:tc>
          <w:tcPr>
            <w:tcW w:w="9480"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третій пункту 5.5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0" w:anchor="n89"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c>
          <w:tcPr>
            <w:tcW w:w="4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9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b/>
                <w:bCs/>
                <w:sz w:val="24"/>
                <w:szCs w:val="24"/>
                <w:lang w:eastAsia="uk-UA"/>
              </w:rPr>
              <w:t>К</w:t>
            </w:r>
            <w:r w:rsidRPr="00AE4E6A">
              <w:rPr>
                <w:rFonts w:ascii="Times New Roman" w:eastAsia="Times New Roman" w:hAnsi="Times New Roman" w:cs="Times New Roman"/>
                <w:b/>
                <w:bCs/>
                <w:sz w:val="16"/>
                <w:szCs w:val="16"/>
                <w:vertAlign w:val="subscript"/>
                <w:lang w:eastAsia="uk-UA"/>
              </w:rPr>
              <w:t>інд</w:t>
            </w:r>
            <w:proofErr w:type="spellEnd"/>
          </w:p>
        </w:tc>
        <w:tc>
          <w:tcPr>
            <w:tcW w:w="16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96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прогнозного індексу зміни цін виробників промислової продукції на розрахунковий період у відношенні до 2018 року. Розмір індексу затверджується відповідною постановою Кабінету Міністрів України про схвалення Прогнозу економічного і соціального розвитку України на розрахунковий період (мінімальний);</w:t>
            </w:r>
          </w:p>
        </w:tc>
      </w:tr>
      <w:tr w:rsidR="00AE4E6A" w:rsidRPr="00AE4E6A" w:rsidTr="00AE4E6A">
        <w:tc>
          <w:tcPr>
            <w:tcW w:w="4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9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roofErr w:type="spellStart"/>
            <w:r w:rsidRPr="00AE4E6A">
              <w:rPr>
                <w:rFonts w:ascii="Times New Roman" w:eastAsia="Times New Roman" w:hAnsi="Times New Roman" w:cs="Times New Roman"/>
                <w:b/>
                <w:bCs/>
                <w:sz w:val="24"/>
                <w:szCs w:val="24"/>
                <w:lang w:eastAsia="uk-UA"/>
              </w:rPr>
              <w:t>К</w:t>
            </w:r>
            <w:r w:rsidRPr="00AE4E6A">
              <w:rPr>
                <w:rFonts w:ascii="Times New Roman" w:eastAsia="Times New Roman" w:hAnsi="Times New Roman" w:cs="Times New Roman"/>
                <w:b/>
                <w:bCs/>
                <w:sz w:val="16"/>
                <w:szCs w:val="16"/>
                <w:vertAlign w:val="subscript"/>
                <w:lang w:eastAsia="uk-UA"/>
              </w:rPr>
              <w:t>зем</w:t>
            </w:r>
            <w:proofErr w:type="spellEnd"/>
          </w:p>
        </w:tc>
        <w:tc>
          <w:tcPr>
            <w:tcW w:w="16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96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коефіцієнт, що враховує розташування точки приєднання у відношенні до земельної ділянки замовника. У разі розташування точки приєднання на межі земельної ділянки замовника </w:t>
            </w:r>
            <w:proofErr w:type="spellStart"/>
            <w:r w:rsidRPr="00AE4E6A">
              <w:rPr>
                <w:rFonts w:ascii="Times New Roman" w:eastAsia="Times New Roman" w:hAnsi="Times New Roman" w:cs="Times New Roman"/>
                <w:b/>
                <w:bCs/>
                <w:sz w:val="24"/>
                <w:szCs w:val="24"/>
                <w:lang w:eastAsia="uk-UA"/>
              </w:rPr>
              <w:t>К</w:t>
            </w:r>
            <w:r w:rsidRPr="00AE4E6A">
              <w:rPr>
                <w:rFonts w:ascii="Times New Roman" w:eastAsia="Times New Roman" w:hAnsi="Times New Roman" w:cs="Times New Roman"/>
                <w:b/>
                <w:bCs/>
                <w:sz w:val="16"/>
                <w:szCs w:val="16"/>
                <w:vertAlign w:val="subscript"/>
                <w:lang w:eastAsia="uk-UA"/>
              </w:rPr>
              <w:t>зем</w:t>
            </w:r>
            <w:proofErr w:type="spellEnd"/>
            <w:r w:rsidRPr="00AE4E6A">
              <w:rPr>
                <w:rFonts w:ascii="Times New Roman" w:eastAsia="Times New Roman" w:hAnsi="Times New Roman" w:cs="Times New Roman"/>
                <w:sz w:val="24"/>
                <w:szCs w:val="24"/>
                <w:lang w:eastAsia="uk-UA"/>
              </w:rPr>
              <w:t> = 1, у разі розташування точки приєднання на земельній ділянці замовника </w:t>
            </w:r>
            <w:proofErr w:type="spellStart"/>
            <w:r w:rsidRPr="00AE4E6A">
              <w:rPr>
                <w:rFonts w:ascii="Times New Roman" w:eastAsia="Times New Roman" w:hAnsi="Times New Roman" w:cs="Times New Roman"/>
                <w:b/>
                <w:bCs/>
                <w:sz w:val="24"/>
                <w:szCs w:val="24"/>
                <w:lang w:eastAsia="uk-UA"/>
              </w:rPr>
              <w:t>К</w:t>
            </w:r>
            <w:r w:rsidRPr="00AE4E6A">
              <w:rPr>
                <w:rFonts w:ascii="Times New Roman" w:eastAsia="Times New Roman" w:hAnsi="Times New Roman" w:cs="Times New Roman"/>
                <w:b/>
                <w:bCs/>
                <w:sz w:val="16"/>
                <w:szCs w:val="16"/>
                <w:vertAlign w:val="subscript"/>
                <w:lang w:eastAsia="uk-UA"/>
              </w:rPr>
              <w:t>зем</w:t>
            </w:r>
            <w:proofErr w:type="spellEnd"/>
            <w:r w:rsidRPr="00AE4E6A">
              <w:rPr>
                <w:rFonts w:ascii="Times New Roman" w:eastAsia="Times New Roman" w:hAnsi="Times New Roman" w:cs="Times New Roman"/>
                <w:sz w:val="24"/>
                <w:szCs w:val="24"/>
                <w:lang w:eastAsia="uk-UA"/>
              </w:rPr>
              <w:t> = 0,95.</w:t>
            </w:r>
          </w:p>
        </w:tc>
      </w:tr>
    </w:tbl>
    <w:p w:rsidR="00AE4E6A" w:rsidRPr="00AE4E6A" w:rsidRDefault="00AE4E6A" w:rsidP="00AE4E6A">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46" w:name="n361"/>
      <w:bookmarkEnd w:id="146"/>
      <w:r w:rsidRPr="00AE4E6A">
        <w:rPr>
          <w:rFonts w:ascii="Times New Roman" w:eastAsia="Times New Roman" w:hAnsi="Times New Roman" w:cs="Times New Roman"/>
          <w:i/>
          <w:iCs/>
          <w:color w:val="333333"/>
          <w:sz w:val="24"/>
          <w:szCs w:val="24"/>
          <w:shd w:val="clear" w:color="auto" w:fill="FFFFFF"/>
          <w:lang w:eastAsia="uk-UA"/>
        </w:rPr>
        <w:t>{Пункт 5.6 глави 5 виключено на підставі Постанови Національної комісії, що здійснює державне регулювання у сферах енергетики та комунальних послуг </w:t>
      </w:r>
      <w:hyperlink r:id="rId111" w:anchor="n90"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292"/>
      <w:bookmarkEnd w:id="147"/>
      <w:r w:rsidRPr="00AE4E6A">
        <w:rPr>
          <w:rFonts w:ascii="Times New Roman" w:eastAsia="Times New Roman" w:hAnsi="Times New Roman" w:cs="Times New Roman"/>
          <w:color w:val="333333"/>
          <w:sz w:val="24"/>
          <w:szCs w:val="24"/>
          <w:lang w:eastAsia="uk-UA"/>
        </w:rPr>
        <w:t>5.6. Різниця між обсягом надходження коштів від надання послуг з нестандартних приєднань та фактичними витратами на приєднання </w:t>
      </w:r>
      <w:proofErr w:type="spellStart"/>
      <w:r w:rsidRPr="00AE4E6A">
        <w:rPr>
          <w:rFonts w:ascii="Arial Unicode MS" w:eastAsia="Times New Roman" w:hAnsi="Arial Unicode MS" w:cs="Times New Roman"/>
          <w:b/>
          <w:bCs/>
          <w:color w:val="333333"/>
          <w:sz w:val="24"/>
          <w:szCs w:val="24"/>
          <w:lang w:eastAsia="uk-UA"/>
        </w:rPr>
        <w:t>Δ</w:t>
      </w:r>
      <w:r w:rsidRPr="00AE4E6A">
        <w:rPr>
          <w:rFonts w:ascii="Times New Roman" w:eastAsia="Times New Roman" w:hAnsi="Times New Roman" w:cs="Times New Roman"/>
          <w:b/>
          <w:bCs/>
          <w:color w:val="333333"/>
          <w:sz w:val="16"/>
          <w:szCs w:val="16"/>
          <w:vertAlign w:val="superscript"/>
          <w:lang w:eastAsia="uk-UA"/>
        </w:rPr>
        <w:t>м</w:t>
      </w:r>
      <w:r w:rsidRPr="00AE4E6A">
        <w:rPr>
          <w:rFonts w:ascii="Times New Roman" w:eastAsia="Times New Roman" w:hAnsi="Times New Roman" w:cs="Times New Roman"/>
          <w:b/>
          <w:bCs/>
          <w:color w:val="333333"/>
          <w:sz w:val="16"/>
          <w:szCs w:val="16"/>
          <w:vertAlign w:val="subscript"/>
          <w:lang w:eastAsia="uk-UA"/>
        </w:rPr>
        <w:t>Внст</w:t>
      </w:r>
      <w:proofErr w:type="spellEnd"/>
      <w:r w:rsidRPr="00AE4E6A">
        <w:rPr>
          <w:rFonts w:ascii="Times New Roman" w:eastAsia="Times New Roman" w:hAnsi="Times New Roman" w:cs="Times New Roman"/>
          <w:color w:val="333333"/>
          <w:sz w:val="24"/>
          <w:szCs w:val="24"/>
          <w:lang w:eastAsia="uk-UA"/>
        </w:rPr>
        <w:t> визначається за формулою</w:t>
      </w:r>
    </w:p>
    <w:tbl>
      <w:tblPr>
        <w:tblW w:w="5000" w:type="pct"/>
        <w:tblCellMar>
          <w:left w:w="0" w:type="dxa"/>
          <w:right w:w="0" w:type="dxa"/>
        </w:tblCellMar>
        <w:tblLook w:val="04A0" w:firstRow="1" w:lastRow="0" w:firstColumn="1" w:lastColumn="0" w:noHBand="0" w:noVBand="1"/>
      </w:tblPr>
      <w:tblGrid>
        <w:gridCol w:w="369"/>
        <w:gridCol w:w="420"/>
        <w:gridCol w:w="147"/>
        <w:gridCol w:w="7795"/>
        <w:gridCol w:w="618"/>
      </w:tblGrid>
      <w:tr w:rsidR="00AE4E6A" w:rsidRPr="00AE4E6A" w:rsidTr="00AE4E6A">
        <w:tc>
          <w:tcPr>
            <w:tcW w:w="12120" w:type="dxa"/>
            <w:gridSpan w:val="4"/>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color w:val="333333"/>
                <w:sz w:val="24"/>
                <w:szCs w:val="24"/>
                <w:lang w:eastAsia="uk-UA"/>
              </w:rPr>
            </w:pPr>
            <w:bookmarkStart w:id="148" w:name="n293"/>
            <w:bookmarkEnd w:id="148"/>
          </w:p>
        </w:tc>
        <w:tc>
          <w:tcPr>
            <w:tcW w:w="69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(14)</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49" w:name="n294"/>
            <w:bookmarkEnd w:id="149"/>
            <w:r w:rsidRPr="00AE4E6A">
              <w:rPr>
                <w:rFonts w:ascii="Times New Roman" w:eastAsia="Times New Roman" w:hAnsi="Times New Roman" w:cs="Times New Roman"/>
                <w:sz w:val="24"/>
                <w:szCs w:val="24"/>
                <w:lang w:eastAsia="uk-UA"/>
              </w:rPr>
              <w:t>де</w:t>
            </w:r>
          </w:p>
        </w:tc>
        <w:tc>
          <w:tcPr>
            <w:tcW w:w="6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6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96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сума коштів, що надійшли як плата за нестандартне приєднання (за об'єктами замовників, приєднання яких завершено у базовому періоді), (сумарне значення за рядками графи 25 </w:t>
            </w:r>
            <w:hyperlink r:id="rId112" w:anchor="n146" w:history="1">
              <w:r w:rsidRPr="00AE4E6A">
                <w:rPr>
                  <w:rFonts w:ascii="Times New Roman" w:eastAsia="Times New Roman" w:hAnsi="Times New Roman" w:cs="Times New Roman"/>
                  <w:color w:val="0000FF"/>
                  <w:sz w:val="24"/>
                  <w:szCs w:val="24"/>
                  <w:u w:val="single"/>
                  <w:lang w:eastAsia="uk-UA"/>
                </w:rPr>
                <w:t>додатка 1</w:t>
              </w:r>
            </w:hyperlink>
            <w:r w:rsidRPr="00AE4E6A">
              <w:rPr>
                <w:rFonts w:ascii="Times New Roman" w:eastAsia="Times New Roman" w:hAnsi="Times New Roman" w:cs="Times New Roman"/>
                <w:sz w:val="24"/>
                <w:szCs w:val="24"/>
                <w:lang w:eastAsia="uk-UA"/>
              </w:rPr>
              <w:t> до цієї Методики), тис. грн (без ПДВ);</w:t>
            </w:r>
          </w:p>
        </w:tc>
      </w:tr>
      <w:tr w:rsidR="00AE4E6A" w:rsidRPr="00AE4E6A" w:rsidTr="00AE4E6A">
        <w:tblPrEx>
          <w:tblCellMar>
            <w:top w:w="15" w:type="dxa"/>
            <w:left w:w="15" w:type="dxa"/>
            <w:bottom w:w="15" w:type="dxa"/>
            <w:right w:w="15" w:type="dxa"/>
          </w:tblCellMar>
        </w:tblPrEx>
        <w:tc>
          <w:tcPr>
            <w:tcW w:w="9150"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ind w:firstLine="450"/>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i/>
                <w:iCs/>
                <w:sz w:val="24"/>
                <w:szCs w:val="24"/>
                <w:lang w:eastAsia="uk-UA"/>
              </w:rPr>
              <w:t>{Абзац третій пункту 5.6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3" w:anchor="n93"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sz w:val="24"/>
                <w:szCs w:val="24"/>
                <w:lang w:eastAsia="uk-UA"/>
              </w:rPr>
              <w:t>}</w:t>
            </w:r>
          </w:p>
        </w:tc>
      </w:tr>
      <w:tr w:rsidR="00AE4E6A" w:rsidRPr="00AE4E6A" w:rsidTr="00AE4E6A">
        <w:tblPrEx>
          <w:tblCellMar>
            <w:top w:w="15" w:type="dxa"/>
            <w:left w:w="15" w:type="dxa"/>
            <w:bottom w:w="15" w:type="dxa"/>
            <w:right w:w="15" w:type="dxa"/>
          </w:tblCellMar>
        </w:tblPrEx>
        <w:tc>
          <w:tcPr>
            <w:tcW w:w="4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p>
        </w:tc>
        <w:tc>
          <w:tcPr>
            <w:tcW w:w="60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65"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c>
          <w:tcPr>
            <w:tcW w:w="796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сума фактичних капітальних витрат, понесених під час надання послуг з нестандартних приєднань (за об'єктами замовників, приєднання яких завершено у базовому періоді) та підтверджених актами виконаних робіт, (сумарне значення за рядками графи 80 </w:t>
            </w:r>
            <w:hyperlink r:id="rId114" w:anchor="n146" w:history="1">
              <w:r w:rsidRPr="00AE4E6A">
                <w:rPr>
                  <w:rFonts w:ascii="Times New Roman" w:eastAsia="Times New Roman" w:hAnsi="Times New Roman" w:cs="Times New Roman"/>
                  <w:color w:val="0000FF"/>
                  <w:sz w:val="24"/>
                  <w:szCs w:val="24"/>
                  <w:u w:val="single"/>
                  <w:lang w:eastAsia="uk-UA"/>
                </w:rPr>
                <w:t>додатка 1</w:t>
              </w:r>
            </w:hyperlink>
            <w:r w:rsidRPr="00AE4E6A">
              <w:rPr>
                <w:rFonts w:ascii="Times New Roman" w:eastAsia="Times New Roman" w:hAnsi="Times New Roman" w:cs="Times New Roman"/>
                <w:sz w:val="24"/>
                <w:szCs w:val="24"/>
                <w:lang w:eastAsia="uk-UA"/>
              </w:rPr>
              <w:t> до цієї Методики), тис. грн (без ПДВ).</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 w:name="n362"/>
      <w:bookmarkEnd w:id="150"/>
      <w:r w:rsidRPr="00AE4E6A">
        <w:rPr>
          <w:rFonts w:ascii="Times New Roman" w:eastAsia="Times New Roman" w:hAnsi="Times New Roman" w:cs="Times New Roman"/>
          <w:i/>
          <w:iCs/>
          <w:color w:val="333333"/>
          <w:sz w:val="24"/>
          <w:szCs w:val="24"/>
          <w:shd w:val="clear" w:color="auto" w:fill="FFFFFF"/>
          <w:lang w:eastAsia="uk-UA"/>
        </w:rPr>
        <w:lastRenderedPageBreak/>
        <w:t>{Абзац четвертий пункту 5.6 глави 5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5" w:anchor="n94"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393"/>
      <w:bookmarkEnd w:id="151"/>
      <w:r w:rsidRPr="00AE4E6A">
        <w:rPr>
          <w:rFonts w:ascii="Times New Roman" w:eastAsia="Times New Roman" w:hAnsi="Times New Roman" w:cs="Times New Roman"/>
          <w:color w:val="333333"/>
          <w:sz w:val="24"/>
          <w:szCs w:val="24"/>
          <w:lang w:eastAsia="uk-UA"/>
        </w:rPr>
        <w:t>5.7. Розрахунок коефіцієнта оптимізації (</w:t>
      </w:r>
      <w:r w:rsidRPr="00AE4E6A">
        <w:rPr>
          <w:rFonts w:ascii="Times New Roman" w:eastAsia="Times New Roman" w:hAnsi="Times New Roman" w:cs="Times New Roman"/>
          <w:b/>
          <w:bCs/>
          <w:color w:val="333333"/>
          <w:sz w:val="24"/>
          <w:szCs w:val="24"/>
          <w:lang w:eastAsia="uk-UA"/>
        </w:rPr>
        <w:t>К</w:t>
      </w:r>
      <w:r w:rsidRPr="00AE4E6A">
        <w:rPr>
          <w:rFonts w:ascii="Times New Roman" w:eastAsia="Times New Roman" w:hAnsi="Times New Roman" w:cs="Times New Roman"/>
          <w:b/>
          <w:bCs/>
          <w:color w:val="333333"/>
          <w:sz w:val="16"/>
          <w:szCs w:val="16"/>
          <w:vertAlign w:val="subscript"/>
          <w:lang w:eastAsia="uk-UA"/>
        </w:rPr>
        <w:t xml:space="preserve">опт </w:t>
      </w:r>
      <w:proofErr w:type="spellStart"/>
      <w:r w:rsidRPr="00AE4E6A">
        <w:rPr>
          <w:rFonts w:ascii="Times New Roman" w:eastAsia="Times New Roman" w:hAnsi="Times New Roman" w:cs="Times New Roman"/>
          <w:b/>
          <w:bCs/>
          <w:color w:val="333333"/>
          <w:sz w:val="16"/>
          <w:szCs w:val="16"/>
          <w:vertAlign w:val="subscript"/>
          <w:lang w:eastAsia="uk-UA"/>
        </w:rPr>
        <w:t>нст</w:t>
      </w:r>
      <w:proofErr w:type="spellEnd"/>
      <w:r w:rsidRPr="00AE4E6A">
        <w:rPr>
          <w:rFonts w:ascii="Times New Roman" w:eastAsia="Times New Roman" w:hAnsi="Times New Roman" w:cs="Times New Roman"/>
          <w:color w:val="333333"/>
          <w:sz w:val="24"/>
          <w:szCs w:val="24"/>
          <w:lang w:eastAsia="uk-UA"/>
        </w:rPr>
        <w:t>) коштів щодо витрат, пов'язаних з наданням послуг з нестандартних приєднань електроустановок замовників до електричних мереж за базовий період, проводиться НКРЕКП на підставі аналізу актів за виконаними договорами про нестандартне приєднання.</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394"/>
      <w:bookmarkEnd w:id="152"/>
      <w:r w:rsidRPr="00AE4E6A">
        <w:rPr>
          <w:rFonts w:ascii="Times New Roman" w:eastAsia="Times New Roman" w:hAnsi="Times New Roman" w:cs="Times New Roman"/>
          <w:color w:val="333333"/>
          <w:sz w:val="24"/>
          <w:szCs w:val="24"/>
          <w:lang w:eastAsia="uk-UA"/>
        </w:rPr>
        <w:t>Окремо проводиться аналіз по п’яти кошторисах нестандартних приєднань з найбільшими витратами, виконаних господарським і підрядним способами.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395"/>
      <w:bookmarkEnd w:id="153"/>
      <w:r w:rsidRPr="00AE4E6A">
        <w:rPr>
          <w:rFonts w:ascii="Times New Roman" w:eastAsia="Times New Roman" w:hAnsi="Times New Roman" w:cs="Times New Roman"/>
          <w:color w:val="333333"/>
          <w:sz w:val="24"/>
          <w:szCs w:val="24"/>
          <w:lang w:eastAsia="uk-UA"/>
        </w:rPr>
        <w:t>Вартісні показники на матеріали та обладнання враховуються із застосуванням коефіцієнта 1,1 для всього переліку матеріалів та обладнання, використаних під час надання послуг з приєднань.</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396"/>
      <w:bookmarkEnd w:id="154"/>
      <w:r w:rsidRPr="00AE4E6A">
        <w:rPr>
          <w:rFonts w:ascii="Times New Roman" w:eastAsia="Times New Roman" w:hAnsi="Times New Roman" w:cs="Times New Roman"/>
          <w:color w:val="333333"/>
          <w:sz w:val="24"/>
          <w:szCs w:val="24"/>
          <w:lang w:eastAsia="uk-UA"/>
        </w:rPr>
        <w:t>У разі придбання обладнання/матеріалів, по яких відсутні цінові показники, граничні ціни визначаються виходячи з вартості складових обладнання в разі можливості такого аналізу або на підставі цінових показників на обладнання зі схожими технічними характеристиками.</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397"/>
      <w:bookmarkEnd w:id="155"/>
      <w:r w:rsidRPr="00AE4E6A">
        <w:rPr>
          <w:rFonts w:ascii="Times New Roman" w:eastAsia="Times New Roman" w:hAnsi="Times New Roman" w:cs="Times New Roman"/>
          <w:color w:val="333333"/>
          <w:sz w:val="24"/>
          <w:szCs w:val="24"/>
          <w:lang w:eastAsia="uk-UA"/>
        </w:rPr>
        <w:t xml:space="preserve">Результати аналізу застосовуються </w:t>
      </w:r>
      <w:proofErr w:type="spellStart"/>
      <w:r w:rsidRPr="00AE4E6A">
        <w:rPr>
          <w:rFonts w:ascii="Times New Roman" w:eastAsia="Times New Roman" w:hAnsi="Times New Roman" w:cs="Times New Roman"/>
          <w:color w:val="333333"/>
          <w:sz w:val="24"/>
          <w:szCs w:val="24"/>
          <w:lang w:eastAsia="uk-UA"/>
        </w:rPr>
        <w:t>пропорційно</w:t>
      </w:r>
      <w:proofErr w:type="spellEnd"/>
      <w:r w:rsidRPr="00AE4E6A">
        <w:rPr>
          <w:rFonts w:ascii="Times New Roman" w:eastAsia="Times New Roman" w:hAnsi="Times New Roman" w:cs="Times New Roman"/>
          <w:color w:val="333333"/>
          <w:sz w:val="24"/>
          <w:szCs w:val="24"/>
          <w:lang w:eastAsia="uk-UA"/>
        </w:rPr>
        <w:t xml:space="preserve"> до кожного напряму для визначення фактичних капітальних витрат, понесених під час надання послуг із нестандартного приєднання (за об'єктами замовників, приєднання яких завершено в базовому періоді) для міської та сільської місцевості, за якими проводився аналіз.</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6" w:name="n398"/>
      <w:bookmarkEnd w:id="156"/>
      <w:r w:rsidRPr="00AE4E6A">
        <w:rPr>
          <w:rFonts w:ascii="Times New Roman" w:eastAsia="Times New Roman" w:hAnsi="Times New Roman" w:cs="Times New Roman"/>
          <w:i/>
          <w:iCs/>
          <w:color w:val="333333"/>
          <w:sz w:val="24"/>
          <w:szCs w:val="24"/>
          <w:shd w:val="clear" w:color="auto" w:fill="FFFFFF"/>
          <w:lang w:eastAsia="uk-UA"/>
        </w:rPr>
        <w:t>{Главу 5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16" w:anchor="n95"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330"/>
        <w:gridCol w:w="8027"/>
        <w:gridCol w:w="992"/>
      </w:tblGrid>
      <w:tr w:rsidR="00AE4E6A" w:rsidRPr="00AE4E6A" w:rsidTr="00AE4E6A">
        <w:tc>
          <w:tcPr>
            <w:tcW w:w="45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57" w:name="n401"/>
            <w:bookmarkEnd w:id="157"/>
          </w:p>
        </w:tc>
        <w:tc>
          <w:tcPr>
            <w:tcW w:w="1375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after="150" w:line="240" w:lineRule="auto"/>
              <w:jc w:val="both"/>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5.8. Плата за нестандартне приєднання «під ключ»</w:t>
            </w:r>
            <w:r w:rsidRPr="00AE4E6A">
              <w:rPr>
                <w:noProof/>
              </w:rPr>
              <w:drawing>
                <wp:inline distT="0" distB="0" distL="0" distR="0">
                  <wp:extent cx="361950" cy="200025"/>
                  <wp:effectExtent l="0" t="0" r="0" b="9525"/>
                  <wp:docPr id="2" name="Рисунок 2" descr="C:\Users\gptu01\AppData\Local\Microsoft\Windows\INetCache\Content.MSO\96346F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tu01\AppData\Local\Microsoft\Windows\INetCache\Content.MSO\96346F68.tmp"/>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AE4E6A">
              <w:rPr>
                <w:rFonts w:ascii="Times New Roman" w:eastAsia="Times New Roman" w:hAnsi="Times New Roman" w:cs="Times New Roman"/>
                <w:sz w:val="24"/>
                <w:szCs w:val="24"/>
                <w:lang w:eastAsia="uk-UA"/>
              </w:rPr>
              <w:t> для електроустановок, призначених для зберігання енергії, визначається за формулою</w:t>
            </w:r>
          </w:p>
        </w:tc>
      </w:tr>
      <w:tr w:rsidR="00AE4E6A" w:rsidRPr="00AE4E6A" w:rsidTr="00AE4E6A">
        <w:tblPrEx>
          <w:jc w:val="right"/>
        </w:tblPrEx>
        <w:trPr>
          <w:jc w:val="right"/>
        </w:trPr>
        <w:tc>
          <w:tcPr>
            <w:tcW w:w="12225" w:type="dxa"/>
            <w:gridSpan w:val="2"/>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bookmarkStart w:id="158" w:name="n402"/>
            <w:bookmarkEnd w:id="158"/>
            <w:r w:rsidRPr="00AE4E6A">
              <w:rPr>
                <w:noProof/>
              </w:rPr>
              <w:drawing>
                <wp:inline distT="0" distB="0" distL="0" distR="0">
                  <wp:extent cx="4210050" cy="342900"/>
                  <wp:effectExtent l="0" t="0" r="0" b="0"/>
                  <wp:docPr id="1" name="Рисунок 1" descr="C:\Users\gptu01\AppData\Local\Microsoft\Windows\INetCache\Content.MSO\B78051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ptu01\AppData\Local\Microsoft\Windows\INetCache\Content.MSO\B78051B6.tmp"/>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210050" cy="342900"/>
                          </a:xfrm>
                          <a:prstGeom prst="rect">
                            <a:avLst/>
                          </a:prstGeom>
                          <a:noFill/>
                          <a:ln>
                            <a:noFill/>
                          </a:ln>
                        </pic:spPr>
                      </pic:pic>
                    </a:graphicData>
                  </a:graphic>
                </wp:inline>
              </w:drawing>
            </w:r>
          </w:p>
        </w:tc>
        <w:tc>
          <w:tcPr>
            <w:tcW w:w="192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(15)</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9" w:name="n403"/>
      <w:bookmarkEnd w:id="159"/>
      <w:r w:rsidRPr="00AE4E6A">
        <w:rPr>
          <w:rFonts w:ascii="Times New Roman" w:eastAsia="Times New Roman" w:hAnsi="Times New Roman" w:cs="Times New Roman"/>
          <w:i/>
          <w:iCs/>
          <w:color w:val="333333"/>
          <w:sz w:val="24"/>
          <w:szCs w:val="24"/>
          <w:shd w:val="clear" w:color="auto" w:fill="FFFFFF"/>
          <w:lang w:eastAsia="uk-UA"/>
        </w:rPr>
        <w:t>{Главу 5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19" w:anchor="n7" w:tgtFrame="_blank" w:history="1">
        <w:r w:rsidRPr="00AE4E6A">
          <w:rPr>
            <w:rFonts w:ascii="Times New Roman" w:eastAsia="Times New Roman" w:hAnsi="Times New Roman" w:cs="Times New Roman"/>
            <w:i/>
            <w:iCs/>
            <w:color w:val="0000FF"/>
            <w:sz w:val="24"/>
            <w:szCs w:val="24"/>
            <w:u w:val="single"/>
            <w:lang w:eastAsia="uk-UA"/>
          </w:rPr>
          <w:t>№ 1407 від 10.11.2022</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0" w:name="n295"/>
      <w:bookmarkEnd w:id="160"/>
      <w:r w:rsidRPr="00AE4E6A">
        <w:rPr>
          <w:rFonts w:ascii="Times New Roman" w:eastAsia="Times New Roman" w:hAnsi="Times New Roman" w:cs="Times New Roman"/>
          <w:b/>
          <w:bCs/>
          <w:color w:val="333333"/>
          <w:sz w:val="28"/>
          <w:szCs w:val="28"/>
          <w:lang w:eastAsia="uk-UA"/>
        </w:rPr>
        <w:t>6. Плата за приєднання до електричних мереж системи передачі</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296"/>
      <w:bookmarkEnd w:id="161"/>
      <w:r w:rsidRPr="00AE4E6A">
        <w:rPr>
          <w:rFonts w:ascii="Times New Roman" w:eastAsia="Times New Roman" w:hAnsi="Times New Roman" w:cs="Times New Roman"/>
          <w:color w:val="333333"/>
          <w:sz w:val="24"/>
          <w:szCs w:val="24"/>
          <w:lang w:eastAsia="uk-UA"/>
        </w:rPr>
        <w:t xml:space="preserve">6.1. Плата за приєднання до електричних мереж оператора системи передачі визначається згідно з кошторисом, який є невід'ємною частиною відповідної </w:t>
      </w:r>
      <w:proofErr w:type="spellStart"/>
      <w:r w:rsidRPr="00AE4E6A">
        <w:rPr>
          <w:rFonts w:ascii="Times New Roman" w:eastAsia="Times New Roman" w:hAnsi="Times New Roman" w:cs="Times New Roman"/>
          <w:color w:val="333333"/>
          <w:sz w:val="24"/>
          <w:szCs w:val="24"/>
          <w:lang w:eastAsia="uk-UA"/>
        </w:rPr>
        <w:t>проєктної</w:t>
      </w:r>
      <w:proofErr w:type="spellEnd"/>
      <w:r w:rsidRPr="00AE4E6A">
        <w:rPr>
          <w:rFonts w:ascii="Times New Roman" w:eastAsia="Times New Roman" w:hAnsi="Times New Roman" w:cs="Times New Roman"/>
          <w:color w:val="333333"/>
          <w:sz w:val="24"/>
          <w:szCs w:val="24"/>
          <w:lang w:eastAsia="uk-UA"/>
        </w:rPr>
        <w:t xml:space="preserve"> документації, розробленої з урахуванням вимог </w:t>
      </w:r>
      <w:hyperlink r:id="rId120" w:anchor="n23" w:tgtFrame="_blank" w:history="1">
        <w:r w:rsidRPr="00AE4E6A">
          <w:rPr>
            <w:rFonts w:ascii="Times New Roman" w:eastAsia="Times New Roman" w:hAnsi="Times New Roman" w:cs="Times New Roman"/>
            <w:color w:val="0000FF"/>
            <w:sz w:val="24"/>
            <w:szCs w:val="24"/>
            <w:u w:val="single"/>
            <w:lang w:eastAsia="uk-UA"/>
          </w:rPr>
          <w:t>Кодексу системи передачі</w:t>
        </w:r>
      </w:hyperlink>
      <w:r w:rsidRPr="00AE4E6A">
        <w:rPr>
          <w:rFonts w:ascii="Times New Roman" w:eastAsia="Times New Roman" w:hAnsi="Times New Roman" w:cs="Times New Roman"/>
          <w:color w:val="333333"/>
          <w:sz w:val="24"/>
          <w:szCs w:val="24"/>
          <w:lang w:eastAsia="uk-UA"/>
        </w:rPr>
        <w:t>.</w:t>
      </w:r>
    </w:p>
    <w:p w:rsidR="00AE4E6A" w:rsidRPr="00AE4E6A" w:rsidRDefault="00AE4E6A" w:rsidP="00AE4E6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297"/>
      <w:bookmarkEnd w:id="162"/>
      <w:r w:rsidRPr="00AE4E6A">
        <w:rPr>
          <w:rFonts w:ascii="Times New Roman" w:eastAsia="Times New Roman" w:hAnsi="Times New Roman" w:cs="Times New Roman"/>
          <w:color w:val="333333"/>
          <w:sz w:val="24"/>
          <w:szCs w:val="24"/>
          <w:lang w:eastAsia="uk-UA"/>
        </w:rPr>
        <w:t xml:space="preserve">6.2. Якщо за результатами проведення закупівлі товарів, робіт і послуг з будівництва, реконструкції та/або технічного переоснащення об'єктів електроенергетики на конкурентних засадах змінилась вартість виконання будівельно-монтажних робіт порівняно із узгодженою </w:t>
      </w:r>
      <w:proofErr w:type="spellStart"/>
      <w:r w:rsidRPr="00AE4E6A">
        <w:rPr>
          <w:rFonts w:ascii="Times New Roman" w:eastAsia="Times New Roman" w:hAnsi="Times New Roman" w:cs="Times New Roman"/>
          <w:color w:val="333333"/>
          <w:sz w:val="24"/>
          <w:szCs w:val="24"/>
          <w:lang w:eastAsia="uk-UA"/>
        </w:rPr>
        <w:t>проєктною</w:t>
      </w:r>
      <w:proofErr w:type="spellEnd"/>
      <w:r w:rsidRPr="00AE4E6A">
        <w:rPr>
          <w:rFonts w:ascii="Times New Roman" w:eastAsia="Times New Roman" w:hAnsi="Times New Roman" w:cs="Times New Roman"/>
          <w:color w:val="333333"/>
          <w:sz w:val="24"/>
          <w:szCs w:val="24"/>
          <w:lang w:eastAsia="uk-UA"/>
        </w:rPr>
        <w:t xml:space="preserve"> документацією, оператор системи передачі та замовник вносять зміни до договору про приєднання щодо зміни величини вартості надання послуги з приєднання електроустановок до електричних мереж.</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3" w:name="n190"/>
      <w:bookmarkEnd w:id="163"/>
      <w:r w:rsidRPr="00AE4E6A">
        <w:rPr>
          <w:rFonts w:ascii="Times New Roman" w:eastAsia="Times New Roman" w:hAnsi="Times New Roman" w:cs="Times New Roman"/>
          <w:i/>
          <w:iCs/>
          <w:color w:val="333333"/>
          <w:sz w:val="24"/>
          <w:szCs w:val="24"/>
          <w:shd w:val="clear" w:color="auto" w:fill="FFFFFF"/>
          <w:lang w:eastAsia="uk-UA"/>
        </w:rPr>
        <w:t>{Методика в редакції Постанови Національної комісії, що здійснює державне регулювання у сферах енергетики та комунальних послуг </w:t>
      </w:r>
      <w:hyperlink r:id="rId121" w:anchor="n11" w:tgtFrame="_blank" w:history="1">
        <w:r w:rsidRPr="00AE4E6A">
          <w:rPr>
            <w:rFonts w:ascii="Times New Roman" w:eastAsia="Times New Roman" w:hAnsi="Times New Roman" w:cs="Times New Roman"/>
            <w:i/>
            <w:iCs/>
            <w:color w:val="0000FF"/>
            <w:sz w:val="24"/>
            <w:szCs w:val="24"/>
            <w:u w:val="single"/>
            <w:lang w:eastAsia="uk-UA"/>
          </w:rPr>
          <w:t>№ 2161 від 25.11.2020</w:t>
        </w:r>
      </w:hyperlink>
      <w:r w:rsidRPr="00AE4E6A">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3927"/>
        <w:gridCol w:w="5422"/>
      </w:tblGrid>
      <w:tr w:rsidR="00AE4E6A" w:rsidRPr="00AE4E6A" w:rsidTr="00AE4E6A">
        <w:tc>
          <w:tcPr>
            <w:tcW w:w="21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300" w:after="150" w:line="240" w:lineRule="auto"/>
              <w:jc w:val="center"/>
              <w:rPr>
                <w:rFonts w:ascii="Times New Roman" w:eastAsia="Times New Roman" w:hAnsi="Times New Roman" w:cs="Times New Roman"/>
                <w:sz w:val="24"/>
                <w:szCs w:val="24"/>
                <w:lang w:eastAsia="uk-UA"/>
              </w:rPr>
            </w:pPr>
            <w:bookmarkStart w:id="164" w:name="n144"/>
            <w:bookmarkEnd w:id="164"/>
            <w:r w:rsidRPr="00AE4E6A">
              <w:rPr>
                <w:rFonts w:ascii="Times New Roman" w:eastAsia="Times New Roman" w:hAnsi="Times New Roman" w:cs="Times New Roman"/>
                <w:b/>
                <w:bCs/>
                <w:sz w:val="24"/>
                <w:szCs w:val="24"/>
                <w:lang w:eastAsia="uk-UA"/>
              </w:rPr>
              <w:lastRenderedPageBreak/>
              <w:t>Директор Департаменту</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із регулювання відносин</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у сфері енергетики</w:t>
            </w:r>
          </w:p>
        </w:tc>
        <w:tc>
          <w:tcPr>
            <w:tcW w:w="35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300" w:after="0" w:line="240" w:lineRule="auto"/>
              <w:jc w:val="right"/>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b/>
                <w:bCs/>
                <w:sz w:val="24"/>
                <w:szCs w:val="24"/>
                <w:lang w:eastAsia="uk-UA"/>
              </w:rPr>
              <w:t xml:space="preserve">А. </w:t>
            </w:r>
            <w:proofErr w:type="spellStart"/>
            <w:r w:rsidRPr="00AE4E6A">
              <w:rPr>
                <w:rFonts w:ascii="Times New Roman" w:eastAsia="Times New Roman" w:hAnsi="Times New Roman" w:cs="Times New Roman"/>
                <w:b/>
                <w:bCs/>
                <w:sz w:val="24"/>
                <w:szCs w:val="24"/>
                <w:lang w:eastAsia="uk-UA"/>
              </w:rPr>
              <w:t>Гудаченко</w:t>
            </w:r>
            <w:proofErr w:type="spellEnd"/>
          </w:p>
        </w:tc>
      </w:tr>
    </w:tbl>
    <w:p w:rsidR="00AE4E6A" w:rsidRPr="00AE4E6A" w:rsidRDefault="00AE4E6A" w:rsidP="00AE4E6A">
      <w:pPr>
        <w:spacing w:after="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pict>
          <v:rect id="_x0000_i1029"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AE4E6A" w:rsidRPr="00AE4E6A" w:rsidTr="00AE4E6A">
        <w:tc>
          <w:tcPr>
            <w:tcW w:w="225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65" w:name="n174"/>
            <w:bookmarkStart w:id="166" w:name="n145"/>
            <w:bookmarkEnd w:id="165"/>
            <w:bookmarkEnd w:id="166"/>
          </w:p>
        </w:tc>
        <w:tc>
          <w:tcPr>
            <w:tcW w:w="20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Додаток 1</w:t>
            </w:r>
            <w:r w:rsidRPr="00AE4E6A">
              <w:rPr>
                <w:rFonts w:ascii="Times New Roman" w:eastAsia="Times New Roman" w:hAnsi="Times New Roman" w:cs="Times New Roman"/>
                <w:sz w:val="24"/>
                <w:szCs w:val="24"/>
                <w:lang w:eastAsia="uk-UA"/>
              </w:rPr>
              <w:br/>
              <w:t>до Методики (порядку) формування</w:t>
            </w:r>
            <w:r w:rsidRPr="00AE4E6A">
              <w:rPr>
                <w:rFonts w:ascii="Times New Roman" w:eastAsia="Times New Roman" w:hAnsi="Times New Roman" w:cs="Times New Roman"/>
                <w:sz w:val="24"/>
                <w:szCs w:val="24"/>
                <w:lang w:eastAsia="uk-UA"/>
              </w:rPr>
              <w:br/>
              <w:t>плати за приєднання до системи</w:t>
            </w:r>
            <w:r w:rsidRPr="00AE4E6A">
              <w:rPr>
                <w:rFonts w:ascii="Times New Roman" w:eastAsia="Times New Roman" w:hAnsi="Times New Roman" w:cs="Times New Roman"/>
                <w:sz w:val="24"/>
                <w:szCs w:val="24"/>
                <w:lang w:eastAsia="uk-UA"/>
              </w:rPr>
              <w:br/>
              <w:t>передачі та системи розподілу»,</w:t>
            </w:r>
            <w:r w:rsidRPr="00AE4E6A">
              <w:rPr>
                <w:rFonts w:ascii="Times New Roman" w:eastAsia="Times New Roman" w:hAnsi="Times New Roman" w:cs="Times New Roman"/>
                <w:sz w:val="24"/>
                <w:szCs w:val="24"/>
                <w:lang w:eastAsia="uk-UA"/>
              </w:rPr>
              <w:br/>
              <w:t xml:space="preserve">що має ознаки регуляторного </w:t>
            </w:r>
            <w:proofErr w:type="spellStart"/>
            <w:r w:rsidRPr="00AE4E6A">
              <w:rPr>
                <w:rFonts w:ascii="Times New Roman" w:eastAsia="Times New Roman" w:hAnsi="Times New Roman" w:cs="Times New Roman"/>
                <w:sz w:val="24"/>
                <w:szCs w:val="24"/>
                <w:lang w:eastAsia="uk-UA"/>
              </w:rPr>
              <w:t>акта</w:t>
            </w:r>
            <w:proofErr w:type="spellEnd"/>
          </w:p>
        </w:tc>
      </w:tr>
    </w:tbl>
    <w:bookmarkStart w:id="167" w:name="n146"/>
    <w:bookmarkEnd w:id="167"/>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E4E6A">
        <w:rPr>
          <w:rFonts w:ascii="Times New Roman" w:eastAsia="Times New Roman" w:hAnsi="Times New Roman" w:cs="Times New Roman"/>
          <w:color w:val="333333"/>
          <w:sz w:val="24"/>
          <w:szCs w:val="24"/>
          <w:lang w:eastAsia="uk-UA"/>
        </w:rPr>
        <w:fldChar w:fldCharType="begin"/>
      </w:r>
      <w:r w:rsidRPr="00AE4E6A">
        <w:rPr>
          <w:rFonts w:ascii="Times New Roman" w:eastAsia="Times New Roman" w:hAnsi="Times New Roman" w:cs="Times New Roman"/>
          <w:color w:val="333333"/>
          <w:sz w:val="24"/>
          <w:szCs w:val="24"/>
          <w:lang w:eastAsia="uk-UA"/>
        </w:rPr>
        <w:instrText xml:space="preserve"> HYPERLINK "https://zakon.rada.gov.ua/laws/file/text/98/f480243n363.xlsx" </w:instrText>
      </w:r>
      <w:r w:rsidRPr="00AE4E6A">
        <w:rPr>
          <w:rFonts w:ascii="Times New Roman" w:eastAsia="Times New Roman" w:hAnsi="Times New Roman" w:cs="Times New Roman"/>
          <w:color w:val="333333"/>
          <w:sz w:val="24"/>
          <w:szCs w:val="24"/>
          <w:lang w:eastAsia="uk-UA"/>
        </w:rPr>
        <w:fldChar w:fldCharType="separate"/>
      </w:r>
      <w:r w:rsidRPr="00AE4E6A">
        <w:rPr>
          <w:rFonts w:ascii="Times New Roman" w:eastAsia="Times New Roman" w:hAnsi="Times New Roman" w:cs="Times New Roman"/>
          <w:b/>
          <w:bCs/>
          <w:color w:val="0000FF"/>
          <w:sz w:val="28"/>
          <w:szCs w:val="28"/>
          <w:u w:val="single"/>
          <w:lang w:eastAsia="uk-UA"/>
        </w:rPr>
        <w:t>ЗВІТ</w:t>
      </w:r>
      <w:r w:rsidRPr="00AE4E6A">
        <w:rPr>
          <w:rFonts w:ascii="Times New Roman" w:eastAsia="Times New Roman" w:hAnsi="Times New Roman" w:cs="Times New Roman"/>
          <w:color w:val="333333"/>
          <w:sz w:val="24"/>
          <w:szCs w:val="24"/>
          <w:lang w:eastAsia="uk-UA"/>
        </w:rPr>
        <w:fldChar w:fldCharType="end"/>
      </w:r>
      <w:r w:rsidRPr="00AE4E6A">
        <w:rPr>
          <w:rFonts w:ascii="Times New Roman" w:eastAsia="Times New Roman" w:hAnsi="Times New Roman" w:cs="Times New Roman"/>
          <w:color w:val="333333"/>
          <w:sz w:val="24"/>
          <w:szCs w:val="24"/>
          <w:lang w:eastAsia="uk-UA"/>
        </w:rPr>
        <w:br/>
      </w:r>
      <w:r w:rsidRPr="00AE4E6A">
        <w:rPr>
          <w:rFonts w:ascii="Times New Roman" w:eastAsia="Times New Roman" w:hAnsi="Times New Roman" w:cs="Times New Roman"/>
          <w:b/>
          <w:bCs/>
          <w:color w:val="333333"/>
          <w:sz w:val="28"/>
          <w:szCs w:val="28"/>
          <w:lang w:eastAsia="uk-UA"/>
        </w:rPr>
        <w:t>з моніторингу надання ОСП/ОСР послуг з приєднання</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8" w:name="n298"/>
      <w:bookmarkEnd w:id="168"/>
      <w:r w:rsidRPr="00AE4E6A">
        <w:rPr>
          <w:rFonts w:ascii="Times New Roman" w:eastAsia="Times New Roman" w:hAnsi="Times New Roman" w:cs="Times New Roman"/>
          <w:i/>
          <w:iCs/>
          <w:color w:val="333333"/>
          <w:sz w:val="24"/>
          <w:szCs w:val="24"/>
          <w:shd w:val="clear" w:color="auto" w:fill="FFFFFF"/>
          <w:lang w:eastAsia="uk-UA"/>
        </w:rPr>
        <w:t>{Додаток 1 в редакції Постанов Національної комісії, що здійснює державне регулювання у сферах енергетики та комунальних послуг </w:t>
      </w:r>
      <w:hyperlink r:id="rId122" w:anchor="n121" w:tgtFrame="_blank" w:history="1">
        <w:r w:rsidRPr="00AE4E6A">
          <w:rPr>
            <w:rFonts w:ascii="Times New Roman" w:eastAsia="Times New Roman" w:hAnsi="Times New Roman" w:cs="Times New Roman"/>
            <w:i/>
            <w:iCs/>
            <w:color w:val="0000FF"/>
            <w:sz w:val="24"/>
            <w:szCs w:val="24"/>
            <w:u w:val="single"/>
            <w:lang w:eastAsia="uk-UA"/>
          </w:rPr>
          <w:t>№ 2161 від 25.11.2020</w:t>
        </w:r>
      </w:hyperlink>
      <w:r w:rsidRPr="00AE4E6A">
        <w:rPr>
          <w:rFonts w:ascii="Times New Roman" w:eastAsia="Times New Roman" w:hAnsi="Times New Roman" w:cs="Times New Roman"/>
          <w:i/>
          <w:iCs/>
          <w:color w:val="333333"/>
          <w:sz w:val="24"/>
          <w:szCs w:val="24"/>
          <w:shd w:val="clear" w:color="auto" w:fill="FFFFFF"/>
          <w:lang w:eastAsia="uk-UA"/>
        </w:rPr>
        <w:t>, </w:t>
      </w:r>
      <w:hyperlink r:id="rId123" w:anchor="n105" w:tgtFrame="_blank" w:history="1">
        <w:r w:rsidRPr="00AE4E6A">
          <w:rPr>
            <w:rFonts w:ascii="Times New Roman" w:eastAsia="Times New Roman" w:hAnsi="Times New Roman" w:cs="Times New Roman"/>
            <w:i/>
            <w:iCs/>
            <w:color w:val="0000FF"/>
            <w:sz w:val="24"/>
            <w:szCs w:val="24"/>
            <w:u w:val="single"/>
            <w:lang w:eastAsia="uk-UA"/>
          </w:rPr>
          <w:t>№ 1700 від 06.10.2021</w:t>
        </w:r>
      </w:hyperlink>
      <w:r w:rsidRPr="00AE4E6A">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AE4E6A" w:rsidRPr="00AE4E6A" w:rsidTr="00AE4E6A">
        <w:tc>
          <w:tcPr>
            <w:tcW w:w="225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69" w:name="n149"/>
            <w:bookmarkEnd w:id="169"/>
          </w:p>
        </w:tc>
        <w:tc>
          <w:tcPr>
            <w:tcW w:w="20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Додаток 2</w:t>
            </w:r>
            <w:r w:rsidRPr="00AE4E6A">
              <w:rPr>
                <w:rFonts w:ascii="Times New Roman" w:eastAsia="Times New Roman" w:hAnsi="Times New Roman" w:cs="Times New Roman"/>
                <w:sz w:val="24"/>
                <w:szCs w:val="24"/>
                <w:lang w:eastAsia="uk-UA"/>
              </w:rPr>
              <w:br/>
              <w:t>до Методики (порядку)</w:t>
            </w:r>
            <w:r w:rsidRPr="00AE4E6A">
              <w:rPr>
                <w:rFonts w:ascii="Times New Roman" w:eastAsia="Times New Roman" w:hAnsi="Times New Roman" w:cs="Times New Roman"/>
                <w:sz w:val="24"/>
                <w:szCs w:val="24"/>
                <w:lang w:eastAsia="uk-UA"/>
              </w:rPr>
              <w:br/>
              <w:t>формування плати за приєднання</w:t>
            </w:r>
            <w:r w:rsidRPr="00AE4E6A">
              <w:rPr>
                <w:rFonts w:ascii="Times New Roman" w:eastAsia="Times New Roman" w:hAnsi="Times New Roman" w:cs="Times New Roman"/>
                <w:sz w:val="24"/>
                <w:szCs w:val="24"/>
                <w:lang w:eastAsia="uk-UA"/>
              </w:rPr>
              <w:br/>
              <w:t>до системи передачі та системи розподілу</w:t>
            </w:r>
          </w:p>
        </w:tc>
      </w:tr>
    </w:tbl>
    <w:bookmarkStart w:id="170" w:name="n150"/>
    <w:bookmarkEnd w:id="170"/>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E4E6A">
        <w:rPr>
          <w:rFonts w:ascii="Times New Roman" w:eastAsia="Times New Roman" w:hAnsi="Times New Roman" w:cs="Times New Roman"/>
          <w:color w:val="333333"/>
          <w:sz w:val="24"/>
          <w:szCs w:val="24"/>
          <w:lang w:eastAsia="uk-UA"/>
        </w:rPr>
        <w:fldChar w:fldCharType="begin"/>
      </w:r>
      <w:r w:rsidRPr="00AE4E6A">
        <w:rPr>
          <w:rFonts w:ascii="Times New Roman" w:eastAsia="Times New Roman" w:hAnsi="Times New Roman" w:cs="Times New Roman"/>
          <w:color w:val="333333"/>
          <w:sz w:val="24"/>
          <w:szCs w:val="24"/>
          <w:lang w:eastAsia="uk-UA"/>
        </w:rPr>
        <w:instrText xml:space="preserve"> HYPERLINK "https://zakon.rada.gov.ua/laws/file/text/98/f480243n364.doc" </w:instrText>
      </w:r>
      <w:r w:rsidRPr="00AE4E6A">
        <w:rPr>
          <w:rFonts w:ascii="Times New Roman" w:eastAsia="Times New Roman" w:hAnsi="Times New Roman" w:cs="Times New Roman"/>
          <w:color w:val="333333"/>
          <w:sz w:val="24"/>
          <w:szCs w:val="24"/>
          <w:lang w:eastAsia="uk-UA"/>
        </w:rPr>
        <w:fldChar w:fldCharType="separate"/>
      </w:r>
      <w:r w:rsidRPr="00AE4E6A">
        <w:rPr>
          <w:rFonts w:ascii="Times New Roman" w:eastAsia="Times New Roman" w:hAnsi="Times New Roman" w:cs="Times New Roman"/>
          <w:b/>
          <w:bCs/>
          <w:color w:val="0000FF"/>
          <w:sz w:val="28"/>
          <w:szCs w:val="28"/>
          <w:u w:val="single"/>
          <w:lang w:eastAsia="uk-UA"/>
        </w:rPr>
        <w:t>ІНФОРМАЦІЯ</w:t>
      </w:r>
      <w:r w:rsidRPr="00AE4E6A">
        <w:rPr>
          <w:rFonts w:ascii="Times New Roman" w:eastAsia="Times New Roman" w:hAnsi="Times New Roman" w:cs="Times New Roman"/>
          <w:color w:val="333333"/>
          <w:sz w:val="24"/>
          <w:szCs w:val="24"/>
          <w:lang w:eastAsia="uk-UA"/>
        </w:rPr>
        <w:fldChar w:fldCharType="end"/>
      </w:r>
      <w:r w:rsidRPr="00AE4E6A">
        <w:rPr>
          <w:rFonts w:ascii="Times New Roman" w:eastAsia="Times New Roman" w:hAnsi="Times New Roman" w:cs="Times New Roman"/>
          <w:color w:val="333333"/>
          <w:sz w:val="24"/>
          <w:szCs w:val="24"/>
          <w:lang w:eastAsia="uk-UA"/>
        </w:rPr>
        <w:br/>
      </w:r>
      <w:r w:rsidRPr="00AE4E6A">
        <w:rPr>
          <w:rFonts w:ascii="Times New Roman" w:eastAsia="Times New Roman" w:hAnsi="Times New Roman" w:cs="Times New Roman"/>
          <w:b/>
          <w:bCs/>
          <w:color w:val="333333"/>
          <w:sz w:val="28"/>
          <w:szCs w:val="28"/>
          <w:lang w:eastAsia="uk-UA"/>
        </w:rPr>
        <w:t>про помісячний обсяг трансформації електричної енергії на напругу 6(10)20 кВ для трансформаторних підстанцій (ПС) основної мережі напругою 35-110(154) кВ відповідно до територіальних одиниць оператора системи розподілу (ОСР)</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1" w:name="n302"/>
      <w:bookmarkEnd w:id="171"/>
      <w:r w:rsidRPr="00AE4E6A">
        <w:rPr>
          <w:rFonts w:ascii="Times New Roman" w:eastAsia="Times New Roman" w:hAnsi="Times New Roman" w:cs="Times New Roman"/>
          <w:i/>
          <w:iCs/>
          <w:color w:val="333333"/>
          <w:sz w:val="24"/>
          <w:szCs w:val="24"/>
          <w:shd w:val="clear" w:color="auto" w:fill="FFFFFF"/>
          <w:lang w:eastAsia="uk-UA"/>
        </w:rPr>
        <w:t>{Додаток в редакції Постанови Національної комісії, що здійснює державне регулювання у сферах енергетики та комунальних послуг </w:t>
      </w:r>
      <w:hyperlink r:id="rId124" w:anchor="n125" w:tgtFrame="_blank" w:history="1">
        <w:r w:rsidRPr="00AE4E6A">
          <w:rPr>
            <w:rFonts w:ascii="Times New Roman" w:eastAsia="Times New Roman" w:hAnsi="Times New Roman" w:cs="Times New Roman"/>
            <w:i/>
            <w:iCs/>
            <w:color w:val="0000FF"/>
            <w:sz w:val="24"/>
            <w:szCs w:val="24"/>
            <w:u w:val="single"/>
            <w:lang w:eastAsia="uk-UA"/>
          </w:rPr>
          <w:t>№ 2161 від 25.11.2020</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pacing w:after="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pict>
          <v:rect id="_x0000_i1030" style="width:0;height:0" o:hrstd="t" o:hrnoshade="t" o:hr="t" fillcolor="black" stroked="f"/>
        </w:pict>
      </w:r>
    </w:p>
    <w:p w:rsidR="00AE4E6A" w:rsidRPr="00AE4E6A" w:rsidRDefault="00AE4E6A" w:rsidP="00AE4E6A">
      <w:pPr>
        <w:spacing w:after="0" w:line="240" w:lineRule="auto"/>
        <w:rPr>
          <w:rFonts w:ascii="Times New Roman" w:eastAsia="Times New Roman" w:hAnsi="Times New Roman" w:cs="Times New Roman"/>
          <w:sz w:val="24"/>
          <w:szCs w:val="24"/>
          <w:lang w:eastAsia="uk-UA"/>
        </w:rPr>
      </w:pPr>
      <w:bookmarkStart w:id="172" w:name="n175"/>
      <w:bookmarkEnd w:id="172"/>
      <w:r w:rsidRPr="00AE4E6A">
        <w:rPr>
          <w:rFonts w:ascii="Times New Roman" w:eastAsia="Times New Roman" w:hAnsi="Times New Roman" w:cs="Times New Roman"/>
          <w:b/>
          <w:bCs/>
          <w:color w:val="333333"/>
          <w:sz w:val="28"/>
          <w:szCs w:val="28"/>
          <w:shd w:val="clear" w:color="auto" w:fill="FFFFFF"/>
          <w:lang w:eastAsia="uk-UA"/>
        </w:rPr>
        <w:br/>
      </w:r>
    </w:p>
    <w:tbl>
      <w:tblPr>
        <w:tblW w:w="5000" w:type="pct"/>
        <w:tblCellMar>
          <w:left w:w="0" w:type="dxa"/>
          <w:right w:w="0" w:type="dxa"/>
        </w:tblCellMar>
        <w:tblLook w:val="04A0" w:firstRow="1" w:lastRow="0" w:firstColumn="1" w:lastColumn="0" w:noHBand="0" w:noVBand="1"/>
      </w:tblPr>
      <w:tblGrid>
        <w:gridCol w:w="4949"/>
        <w:gridCol w:w="4400"/>
      </w:tblGrid>
      <w:tr w:rsidR="00AE4E6A" w:rsidRPr="00AE4E6A" w:rsidTr="00AE4E6A">
        <w:tc>
          <w:tcPr>
            <w:tcW w:w="225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73" w:name="n151"/>
            <w:bookmarkEnd w:id="173"/>
          </w:p>
        </w:tc>
        <w:tc>
          <w:tcPr>
            <w:tcW w:w="20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Додаток 3</w:t>
            </w:r>
            <w:r w:rsidRPr="00AE4E6A">
              <w:rPr>
                <w:rFonts w:ascii="Times New Roman" w:eastAsia="Times New Roman" w:hAnsi="Times New Roman" w:cs="Times New Roman"/>
                <w:sz w:val="24"/>
                <w:szCs w:val="24"/>
                <w:lang w:eastAsia="uk-UA"/>
              </w:rPr>
              <w:br/>
              <w:t>до Методики (порядку)</w:t>
            </w:r>
            <w:r w:rsidRPr="00AE4E6A">
              <w:rPr>
                <w:rFonts w:ascii="Times New Roman" w:eastAsia="Times New Roman" w:hAnsi="Times New Roman" w:cs="Times New Roman"/>
                <w:sz w:val="24"/>
                <w:szCs w:val="24"/>
                <w:lang w:eastAsia="uk-UA"/>
              </w:rPr>
              <w:br/>
              <w:t>формування плати за приєднання</w:t>
            </w:r>
            <w:r w:rsidRPr="00AE4E6A">
              <w:rPr>
                <w:rFonts w:ascii="Times New Roman" w:eastAsia="Times New Roman" w:hAnsi="Times New Roman" w:cs="Times New Roman"/>
                <w:sz w:val="24"/>
                <w:szCs w:val="24"/>
                <w:lang w:eastAsia="uk-UA"/>
              </w:rPr>
              <w:br/>
              <w:t>до системи передачі та системи розподілу</w:t>
            </w:r>
          </w:p>
        </w:tc>
      </w:tr>
    </w:tbl>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4" w:name="n152"/>
      <w:bookmarkEnd w:id="174"/>
      <w:r w:rsidRPr="00AE4E6A">
        <w:rPr>
          <w:rFonts w:ascii="Times New Roman" w:eastAsia="Times New Roman" w:hAnsi="Times New Roman" w:cs="Times New Roman"/>
          <w:b/>
          <w:bCs/>
          <w:color w:val="333333"/>
          <w:sz w:val="28"/>
          <w:szCs w:val="28"/>
          <w:lang w:eastAsia="uk-UA"/>
        </w:rPr>
        <w:t>КОЕФІЦІЄНТ</w:t>
      </w:r>
      <w:r w:rsidRPr="00AE4E6A">
        <w:rPr>
          <w:rFonts w:ascii="Times New Roman" w:eastAsia="Times New Roman" w:hAnsi="Times New Roman" w:cs="Times New Roman"/>
          <w:color w:val="333333"/>
          <w:sz w:val="24"/>
          <w:szCs w:val="24"/>
          <w:lang w:eastAsia="uk-UA"/>
        </w:rPr>
        <w:br/>
      </w:r>
      <w:r w:rsidRPr="00AE4E6A">
        <w:rPr>
          <w:rFonts w:ascii="Times New Roman" w:eastAsia="Times New Roman" w:hAnsi="Times New Roman" w:cs="Times New Roman"/>
          <w:b/>
          <w:bCs/>
          <w:color w:val="333333"/>
          <w:sz w:val="28"/>
          <w:szCs w:val="28"/>
          <w:lang w:eastAsia="uk-UA"/>
        </w:rPr>
        <w:t>категорії надійності електропостачання </w:t>
      </w:r>
      <w:proofErr w:type="spellStart"/>
      <w:r w:rsidRPr="00AE4E6A">
        <w:rPr>
          <w:rFonts w:ascii="Times New Roman" w:eastAsia="Times New Roman" w:hAnsi="Times New Roman" w:cs="Times New Roman"/>
          <w:b/>
          <w:bCs/>
          <w:i/>
          <w:iCs/>
          <w:color w:val="333333"/>
          <w:sz w:val="28"/>
          <w:szCs w:val="28"/>
          <w:lang w:eastAsia="uk-UA"/>
        </w:rPr>
        <w:t>К</w:t>
      </w:r>
      <w:r w:rsidRPr="00AE4E6A">
        <w:rPr>
          <w:rFonts w:ascii="Times New Roman" w:eastAsia="Times New Roman" w:hAnsi="Times New Roman" w:cs="Times New Roman"/>
          <w:b/>
          <w:bCs/>
          <w:color w:val="333333"/>
          <w:sz w:val="16"/>
          <w:szCs w:val="16"/>
          <w:vertAlign w:val="subscript"/>
          <w:lang w:eastAsia="uk-UA"/>
        </w:rPr>
        <w:t>к</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2334"/>
        <w:gridCol w:w="2335"/>
        <w:gridCol w:w="2335"/>
        <w:gridCol w:w="2335"/>
      </w:tblGrid>
      <w:tr w:rsidR="00AE4E6A" w:rsidRPr="00AE4E6A" w:rsidTr="00AE4E6A">
        <w:tc>
          <w:tcPr>
            <w:tcW w:w="1845"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bookmarkStart w:id="175" w:name="n304"/>
            <w:bookmarkEnd w:id="175"/>
            <w:r w:rsidRPr="00AE4E6A">
              <w:rPr>
                <w:rFonts w:ascii="Times New Roman" w:eastAsia="Times New Roman" w:hAnsi="Times New Roman" w:cs="Times New Roman"/>
                <w:sz w:val="24"/>
                <w:szCs w:val="24"/>
                <w:lang w:eastAsia="uk-UA"/>
              </w:rPr>
              <w:t>Категорія надійності</w:t>
            </w:r>
          </w:p>
        </w:tc>
        <w:tc>
          <w:tcPr>
            <w:tcW w:w="1845"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I</w:t>
            </w:r>
          </w:p>
        </w:tc>
        <w:tc>
          <w:tcPr>
            <w:tcW w:w="1845"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II</w:t>
            </w:r>
          </w:p>
        </w:tc>
        <w:tc>
          <w:tcPr>
            <w:tcW w:w="1845"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III</w:t>
            </w:r>
          </w:p>
        </w:tc>
      </w:tr>
      <w:tr w:rsidR="00AE4E6A" w:rsidRPr="00AE4E6A" w:rsidTr="00AE4E6A">
        <w:tc>
          <w:tcPr>
            <w:tcW w:w="1845"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1845"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1,3</w:t>
            </w:r>
          </w:p>
        </w:tc>
        <w:tc>
          <w:tcPr>
            <w:tcW w:w="1845"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1,2</w:t>
            </w:r>
          </w:p>
        </w:tc>
        <w:tc>
          <w:tcPr>
            <w:tcW w:w="1845"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1,0</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6" w:name="n305"/>
      <w:bookmarkEnd w:id="176"/>
      <w:r w:rsidRPr="00AE4E6A">
        <w:rPr>
          <w:rFonts w:ascii="Times New Roman" w:eastAsia="Times New Roman" w:hAnsi="Times New Roman" w:cs="Times New Roman"/>
          <w:i/>
          <w:iCs/>
          <w:color w:val="333333"/>
          <w:sz w:val="24"/>
          <w:szCs w:val="24"/>
          <w:shd w:val="clear" w:color="auto" w:fill="FFFFFF"/>
          <w:lang w:eastAsia="uk-UA"/>
        </w:rPr>
        <w:t>{Додаток в редакції Постанови Національної комісії, що здійснює державне регулювання у сферах енергетики та комунальних послуг </w:t>
      </w:r>
      <w:hyperlink r:id="rId125" w:anchor="n127" w:tgtFrame="_blank" w:history="1">
        <w:r w:rsidRPr="00AE4E6A">
          <w:rPr>
            <w:rFonts w:ascii="Times New Roman" w:eastAsia="Times New Roman" w:hAnsi="Times New Roman" w:cs="Times New Roman"/>
            <w:i/>
            <w:iCs/>
            <w:color w:val="0000FF"/>
            <w:sz w:val="24"/>
            <w:szCs w:val="24"/>
            <w:u w:val="single"/>
            <w:lang w:eastAsia="uk-UA"/>
          </w:rPr>
          <w:t>№ 2161 від 25.11.2020</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pacing w:after="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lastRenderedPageBreak/>
        <w:pict>
          <v:rect id="_x0000_i1031"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AE4E6A" w:rsidRPr="00AE4E6A" w:rsidTr="00AE4E6A">
        <w:tc>
          <w:tcPr>
            <w:tcW w:w="225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77" w:name="n186"/>
            <w:bookmarkStart w:id="178" w:name="n154"/>
            <w:bookmarkEnd w:id="177"/>
            <w:bookmarkEnd w:id="178"/>
          </w:p>
        </w:tc>
        <w:tc>
          <w:tcPr>
            <w:tcW w:w="20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Додаток 4</w:t>
            </w:r>
            <w:r w:rsidRPr="00AE4E6A">
              <w:rPr>
                <w:rFonts w:ascii="Times New Roman" w:eastAsia="Times New Roman" w:hAnsi="Times New Roman" w:cs="Times New Roman"/>
                <w:sz w:val="24"/>
                <w:szCs w:val="24"/>
                <w:lang w:eastAsia="uk-UA"/>
              </w:rPr>
              <w:br/>
              <w:t>до Методики (порядку)</w:t>
            </w:r>
            <w:r w:rsidRPr="00AE4E6A">
              <w:rPr>
                <w:rFonts w:ascii="Times New Roman" w:eastAsia="Times New Roman" w:hAnsi="Times New Roman" w:cs="Times New Roman"/>
                <w:sz w:val="24"/>
                <w:szCs w:val="24"/>
                <w:lang w:eastAsia="uk-UA"/>
              </w:rPr>
              <w:br/>
              <w:t>формування плати за приєднання</w:t>
            </w:r>
            <w:r w:rsidRPr="00AE4E6A">
              <w:rPr>
                <w:rFonts w:ascii="Times New Roman" w:eastAsia="Times New Roman" w:hAnsi="Times New Roman" w:cs="Times New Roman"/>
                <w:sz w:val="24"/>
                <w:szCs w:val="24"/>
                <w:lang w:eastAsia="uk-UA"/>
              </w:rPr>
              <w:br/>
              <w:t>до системи передачі та системи розподілу</w:t>
            </w:r>
          </w:p>
        </w:tc>
      </w:tr>
    </w:tbl>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9" w:name="n155"/>
      <w:bookmarkEnd w:id="179"/>
      <w:r w:rsidRPr="00AE4E6A">
        <w:rPr>
          <w:rFonts w:ascii="Times New Roman" w:eastAsia="Times New Roman" w:hAnsi="Times New Roman" w:cs="Times New Roman"/>
          <w:b/>
          <w:bCs/>
          <w:color w:val="333333"/>
          <w:sz w:val="28"/>
          <w:szCs w:val="28"/>
          <w:lang w:eastAsia="uk-UA"/>
        </w:rPr>
        <w:t>КОЕФІЦІЄНТ</w:t>
      </w:r>
      <w:r w:rsidRPr="00AE4E6A">
        <w:rPr>
          <w:rFonts w:ascii="Times New Roman" w:eastAsia="Times New Roman" w:hAnsi="Times New Roman" w:cs="Times New Roman"/>
          <w:color w:val="333333"/>
          <w:sz w:val="24"/>
          <w:szCs w:val="24"/>
          <w:lang w:eastAsia="uk-UA"/>
        </w:rPr>
        <w:br/>
      </w:r>
      <w:r w:rsidRPr="00AE4E6A">
        <w:rPr>
          <w:rFonts w:ascii="Times New Roman" w:eastAsia="Times New Roman" w:hAnsi="Times New Roman" w:cs="Times New Roman"/>
          <w:b/>
          <w:bCs/>
          <w:color w:val="333333"/>
          <w:sz w:val="28"/>
          <w:szCs w:val="28"/>
          <w:lang w:eastAsia="uk-UA"/>
        </w:rPr>
        <w:t>ступеня напруги в точці приєднання </w:t>
      </w:r>
      <w:proofErr w:type="spellStart"/>
      <w:r w:rsidRPr="00AE4E6A">
        <w:rPr>
          <w:rFonts w:ascii="Times New Roman" w:eastAsia="Times New Roman" w:hAnsi="Times New Roman" w:cs="Times New Roman"/>
          <w:b/>
          <w:bCs/>
          <w:i/>
          <w:iCs/>
          <w:color w:val="333333"/>
          <w:sz w:val="28"/>
          <w:szCs w:val="28"/>
          <w:lang w:eastAsia="uk-UA"/>
        </w:rPr>
        <w:t>К</w:t>
      </w:r>
      <w:r w:rsidRPr="00AE4E6A">
        <w:rPr>
          <w:rFonts w:ascii="Times New Roman" w:eastAsia="Times New Roman" w:hAnsi="Times New Roman" w:cs="Times New Roman"/>
          <w:b/>
          <w:bCs/>
          <w:color w:val="333333"/>
          <w:sz w:val="16"/>
          <w:szCs w:val="16"/>
          <w:vertAlign w:val="subscript"/>
          <w:lang w:eastAsia="uk-UA"/>
        </w:rPr>
        <w:t>н</w:t>
      </w:r>
      <w:proofErr w:type="spellEnd"/>
    </w:p>
    <w:tbl>
      <w:tblPr>
        <w:tblW w:w="5000" w:type="pct"/>
        <w:jc w:val="center"/>
        <w:tblCellMar>
          <w:top w:w="15" w:type="dxa"/>
          <w:left w:w="15" w:type="dxa"/>
          <w:bottom w:w="15" w:type="dxa"/>
          <w:right w:w="15" w:type="dxa"/>
        </w:tblCellMar>
        <w:tblLook w:val="04A0" w:firstRow="1" w:lastRow="0" w:firstColumn="1" w:lastColumn="0" w:noHBand="0" w:noVBand="1"/>
      </w:tblPr>
      <w:tblGrid>
        <w:gridCol w:w="2695"/>
        <w:gridCol w:w="1733"/>
        <w:gridCol w:w="1829"/>
        <w:gridCol w:w="1541"/>
        <w:gridCol w:w="1541"/>
      </w:tblGrid>
      <w:tr w:rsidR="00AE4E6A" w:rsidRPr="00AE4E6A" w:rsidTr="00AE4E6A">
        <w:trPr>
          <w:jc w:val="center"/>
        </w:trPr>
        <w:tc>
          <w:tcPr>
            <w:tcW w:w="1400" w:type="pct"/>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bookmarkStart w:id="180" w:name="n306"/>
            <w:bookmarkEnd w:id="180"/>
            <w:r w:rsidRPr="00AE4E6A">
              <w:rPr>
                <w:rFonts w:ascii="Times New Roman" w:eastAsia="Times New Roman" w:hAnsi="Times New Roman" w:cs="Times New Roman"/>
                <w:sz w:val="24"/>
                <w:szCs w:val="24"/>
                <w:lang w:eastAsia="uk-UA"/>
              </w:rPr>
              <w:t>Ступінь напруги в точці приєднання</w:t>
            </w:r>
          </w:p>
        </w:tc>
        <w:tc>
          <w:tcPr>
            <w:tcW w:w="900" w:type="pct"/>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0,4(0,23) кВ</w:t>
            </w:r>
          </w:p>
        </w:tc>
        <w:tc>
          <w:tcPr>
            <w:tcW w:w="950" w:type="pct"/>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6(10)20 кВ</w:t>
            </w:r>
          </w:p>
        </w:tc>
        <w:tc>
          <w:tcPr>
            <w:tcW w:w="800" w:type="pct"/>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35 кВ</w:t>
            </w:r>
          </w:p>
        </w:tc>
        <w:tc>
          <w:tcPr>
            <w:tcW w:w="800" w:type="pct"/>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110(154) кВ</w:t>
            </w:r>
          </w:p>
        </w:tc>
      </w:tr>
      <w:tr w:rsidR="00AE4E6A" w:rsidRPr="00AE4E6A" w:rsidTr="00AE4E6A">
        <w:trPr>
          <w:trHeight w:val="495"/>
          <w:jc w:val="center"/>
        </w:trPr>
        <w:tc>
          <w:tcPr>
            <w:tcW w:w="1400" w:type="pct"/>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w:t>
            </w:r>
          </w:p>
        </w:tc>
        <w:tc>
          <w:tcPr>
            <w:tcW w:w="950" w:type="pct"/>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0,874</w:t>
            </w:r>
          </w:p>
        </w:tc>
        <w:tc>
          <w:tcPr>
            <w:tcW w:w="800" w:type="pct"/>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0,724</w:t>
            </w:r>
          </w:p>
        </w:tc>
        <w:tc>
          <w:tcPr>
            <w:tcW w:w="800" w:type="pct"/>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0,341</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1" w:name="n307"/>
      <w:bookmarkEnd w:id="181"/>
      <w:r w:rsidRPr="00AE4E6A">
        <w:rPr>
          <w:rFonts w:ascii="Times New Roman" w:eastAsia="Times New Roman" w:hAnsi="Times New Roman" w:cs="Times New Roman"/>
          <w:i/>
          <w:iCs/>
          <w:color w:val="333333"/>
          <w:sz w:val="24"/>
          <w:szCs w:val="24"/>
          <w:shd w:val="clear" w:color="auto" w:fill="FFFFFF"/>
          <w:lang w:eastAsia="uk-UA"/>
        </w:rPr>
        <w:t>{Додаток в редакції Постанови Національної комісії, що здійснює державне регулювання у сферах енергетики та комунальних послуг </w:t>
      </w:r>
      <w:hyperlink r:id="rId126" w:anchor="n130" w:tgtFrame="_blank" w:history="1">
        <w:r w:rsidRPr="00AE4E6A">
          <w:rPr>
            <w:rFonts w:ascii="Times New Roman" w:eastAsia="Times New Roman" w:hAnsi="Times New Roman" w:cs="Times New Roman"/>
            <w:i/>
            <w:iCs/>
            <w:color w:val="0000FF"/>
            <w:sz w:val="24"/>
            <w:szCs w:val="24"/>
            <w:u w:val="single"/>
            <w:lang w:eastAsia="uk-UA"/>
          </w:rPr>
          <w:t>№ 2161 від 25.11.2020</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pacing w:after="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pict>
          <v:rect id="_x0000_i1032"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AE4E6A" w:rsidRPr="00AE4E6A" w:rsidTr="00AE4E6A">
        <w:tc>
          <w:tcPr>
            <w:tcW w:w="225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82" w:name="n176"/>
            <w:bookmarkStart w:id="183" w:name="n157"/>
            <w:bookmarkEnd w:id="182"/>
            <w:bookmarkEnd w:id="183"/>
          </w:p>
        </w:tc>
        <w:tc>
          <w:tcPr>
            <w:tcW w:w="20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Додаток 5</w:t>
            </w:r>
            <w:r w:rsidRPr="00AE4E6A">
              <w:rPr>
                <w:rFonts w:ascii="Times New Roman" w:eastAsia="Times New Roman" w:hAnsi="Times New Roman" w:cs="Times New Roman"/>
                <w:sz w:val="24"/>
                <w:szCs w:val="24"/>
                <w:lang w:eastAsia="uk-UA"/>
              </w:rPr>
              <w:br/>
              <w:t>до Методики (порядку)</w:t>
            </w:r>
            <w:r w:rsidRPr="00AE4E6A">
              <w:rPr>
                <w:rFonts w:ascii="Times New Roman" w:eastAsia="Times New Roman" w:hAnsi="Times New Roman" w:cs="Times New Roman"/>
                <w:sz w:val="24"/>
                <w:szCs w:val="24"/>
                <w:lang w:eastAsia="uk-UA"/>
              </w:rPr>
              <w:br/>
              <w:t>формування плати за приєднання</w:t>
            </w:r>
            <w:r w:rsidRPr="00AE4E6A">
              <w:rPr>
                <w:rFonts w:ascii="Times New Roman" w:eastAsia="Times New Roman" w:hAnsi="Times New Roman" w:cs="Times New Roman"/>
                <w:sz w:val="24"/>
                <w:szCs w:val="24"/>
                <w:lang w:eastAsia="uk-UA"/>
              </w:rPr>
              <w:br/>
              <w:t>до системи передачі та системи розподілу</w:t>
            </w:r>
          </w:p>
        </w:tc>
      </w:tr>
    </w:tbl>
    <w:bookmarkStart w:id="184" w:name="n158"/>
    <w:bookmarkEnd w:id="184"/>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E4E6A">
        <w:rPr>
          <w:rFonts w:ascii="Times New Roman" w:eastAsia="Times New Roman" w:hAnsi="Times New Roman" w:cs="Times New Roman"/>
          <w:color w:val="333333"/>
          <w:sz w:val="24"/>
          <w:szCs w:val="24"/>
          <w:lang w:eastAsia="uk-UA"/>
        </w:rPr>
        <w:fldChar w:fldCharType="begin"/>
      </w:r>
      <w:r w:rsidRPr="00AE4E6A">
        <w:rPr>
          <w:rFonts w:ascii="Times New Roman" w:eastAsia="Times New Roman" w:hAnsi="Times New Roman" w:cs="Times New Roman"/>
          <w:color w:val="333333"/>
          <w:sz w:val="24"/>
          <w:szCs w:val="24"/>
          <w:lang w:eastAsia="uk-UA"/>
        </w:rPr>
        <w:instrText xml:space="preserve"> HYPERLINK "https://zakon.rada.gov.ua/laws/file/text/98/f480243n365.doc" </w:instrText>
      </w:r>
      <w:r w:rsidRPr="00AE4E6A">
        <w:rPr>
          <w:rFonts w:ascii="Times New Roman" w:eastAsia="Times New Roman" w:hAnsi="Times New Roman" w:cs="Times New Roman"/>
          <w:color w:val="333333"/>
          <w:sz w:val="24"/>
          <w:szCs w:val="24"/>
          <w:lang w:eastAsia="uk-UA"/>
        </w:rPr>
        <w:fldChar w:fldCharType="separate"/>
      </w:r>
      <w:r w:rsidRPr="00AE4E6A">
        <w:rPr>
          <w:rFonts w:ascii="Times New Roman" w:eastAsia="Times New Roman" w:hAnsi="Times New Roman" w:cs="Times New Roman"/>
          <w:b/>
          <w:bCs/>
          <w:color w:val="0000FF"/>
          <w:sz w:val="28"/>
          <w:szCs w:val="28"/>
          <w:u w:val="single"/>
          <w:lang w:eastAsia="uk-UA"/>
        </w:rPr>
        <w:t>КОЕФІЦІЄНТ</w:t>
      </w:r>
      <w:r w:rsidRPr="00AE4E6A">
        <w:rPr>
          <w:rFonts w:ascii="Times New Roman" w:eastAsia="Times New Roman" w:hAnsi="Times New Roman" w:cs="Times New Roman"/>
          <w:color w:val="333333"/>
          <w:sz w:val="24"/>
          <w:szCs w:val="24"/>
          <w:lang w:eastAsia="uk-UA"/>
        </w:rPr>
        <w:fldChar w:fldCharType="end"/>
      </w:r>
      <w:r w:rsidRPr="00AE4E6A">
        <w:rPr>
          <w:rFonts w:ascii="Times New Roman" w:eastAsia="Times New Roman" w:hAnsi="Times New Roman" w:cs="Times New Roman"/>
          <w:color w:val="333333"/>
          <w:sz w:val="24"/>
          <w:szCs w:val="24"/>
          <w:lang w:eastAsia="uk-UA"/>
        </w:rPr>
        <w:br/>
      </w:r>
      <w:r w:rsidRPr="00AE4E6A">
        <w:rPr>
          <w:rFonts w:ascii="Times New Roman" w:eastAsia="Times New Roman" w:hAnsi="Times New Roman" w:cs="Times New Roman"/>
          <w:b/>
          <w:bCs/>
          <w:color w:val="333333"/>
          <w:sz w:val="28"/>
          <w:szCs w:val="28"/>
          <w:lang w:eastAsia="uk-UA"/>
        </w:rPr>
        <w:t xml:space="preserve">схеми електрозабезпечення </w:t>
      </w:r>
      <w:proofErr w:type="spellStart"/>
      <w:r w:rsidRPr="00AE4E6A">
        <w:rPr>
          <w:rFonts w:ascii="Times New Roman" w:eastAsia="Times New Roman" w:hAnsi="Times New Roman" w:cs="Times New Roman"/>
          <w:b/>
          <w:bCs/>
          <w:color w:val="333333"/>
          <w:sz w:val="28"/>
          <w:szCs w:val="28"/>
          <w:lang w:eastAsia="uk-UA"/>
        </w:rPr>
        <w:t>К</w:t>
      </w:r>
      <w:r w:rsidRPr="00AE4E6A">
        <w:rPr>
          <w:rFonts w:ascii="Times New Roman" w:eastAsia="Times New Roman" w:hAnsi="Times New Roman" w:cs="Times New Roman"/>
          <w:b/>
          <w:bCs/>
          <w:color w:val="333333"/>
          <w:sz w:val="16"/>
          <w:szCs w:val="16"/>
          <w:vertAlign w:val="subscript"/>
          <w:lang w:eastAsia="uk-UA"/>
        </w:rPr>
        <w:t>ф</w:t>
      </w:r>
      <w:proofErr w:type="spellEnd"/>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5" w:name="n308"/>
      <w:bookmarkEnd w:id="185"/>
      <w:r w:rsidRPr="00AE4E6A">
        <w:rPr>
          <w:rFonts w:ascii="Times New Roman" w:eastAsia="Times New Roman" w:hAnsi="Times New Roman" w:cs="Times New Roman"/>
          <w:i/>
          <w:iCs/>
          <w:color w:val="333333"/>
          <w:sz w:val="24"/>
          <w:szCs w:val="24"/>
          <w:shd w:val="clear" w:color="auto" w:fill="FFFFFF"/>
          <w:lang w:eastAsia="uk-UA"/>
        </w:rPr>
        <w:t>{Додаток в редакції Постанови Національної комісії, що здійснює державне регулювання у сферах енергетики та комунальних послуг </w:t>
      </w:r>
      <w:hyperlink r:id="rId127" w:anchor="n133" w:tgtFrame="_blank" w:history="1">
        <w:r w:rsidRPr="00AE4E6A">
          <w:rPr>
            <w:rFonts w:ascii="Times New Roman" w:eastAsia="Times New Roman" w:hAnsi="Times New Roman" w:cs="Times New Roman"/>
            <w:i/>
            <w:iCs/>
            <w:color w:val="0000FF"/>
            <w:sz w:val="24"/>
            <w:szCs w:val="24"/>
            <w:u w:val="single"/>
            <w:lang w:eastAsia="uk-UA"/>
          </w:rPr>
          <w:t>№ 2161 від 25.11.2020</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pacing w:after="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pict>
          <v:rect id="_x0000_i1033" style="width:0;height:0" o:hrstd="t" o:hrnoshade="t" o:hr="t" fillcolor="black" stroked="f"/>
        </w:pict>
      </w:r>
    </w:p>
    <w:p w:rsidR="00AE4E6A" w:rsidRPr="00AE4E6A" w:rsidRDefault="00AE4E6A" w:rsidP="00AE4E6A">
      <w:pPr>
        <w:spacing w:after="0" w:line="240" w:lineRule="auto"/>
        <w:rPr>
          <w:rFonts w:ascii="Times New Roman" w:eastAsia="Times New Roman" w:hAnsi="Times New Roman" w:cs="Times New Roman"/>
          <w:sz w:val="24"/>
          <w:szCs w:val="24"/>
          <w:lang w:eastAsia="uk-UA"/>
        </w:rPr>
      </w:pPr>
      <w:bookmarkStart w:id="186" w:name="n185"/>
      <w:bookmarkEnd w:id="186"/>
      <w:r w:rsidRPr="00AE4E6A">
        <w:rPr>
          <w:rFonts w:ascii="Times New Roman" w:eastAsia="Times New Roman" w:hAnsi="Times New Roman" w:cs="Times New Roman"/>
          <w:color w:val="333333"/>
          <w:sz w:val="20"/>
          <w:szCs w:val="20"/>
          <w:shd w:val="clear" w:color="auto" w:fill="FFFFFF"/>
          <w:lang w:eastAsia="uk-UA"/>
        </w:rPr>
        <w:br/>
      </w:r>
    </w:p>
    <w:tbl>
      <w:tblPr>
        <w:tblW w:w="5000" w:type="pct"/>
        <w:tblCellMar>
          <w:left w:w="0" w:type="dxa"/>
          <w:right w:w="0" w:type="dxa"/>
        </w:tblCellMar>
        <w:tblLook w:val="04A0" w:firstRow="1" w:lastRow="0" w:firstColumn="1" w:lastColumn="0" w:noHBand="0" w:noVBand="1"/>
      </w:tblPr>
      <w:tblGrid>
        <w:gridCol w:w="4949"/>
        <w:gridCol w:w="4400"/>
      </w:tblGrid>
      <w:tr w:rsidR="00AE4E6A" w:rsidRPr="00AE4E6A" w:rsidTr="00AE4E6A">
        <w:tc>
          <w:tcPr>
            <w:tcW w:w="225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87" w:name="n161"/>
            <w:bookmarkEnd w:id="187"/>
          </w:p>
        </w:tc>
        <w:tc>
          <w:tcPr>
            <w:tcW w:w="20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Додаток 6</w:t>
            </w:r>
            <w:r w:rsidRPr="00AE4E6A">
              <w:rPr>
                <w:rFonts w:ascii="Times New Roman" w:eastAsia="Times New Roman" w:hAnsi="Times New Roman" w:cs="Times New Roman"/>
                <w:sz w:val="24"/>
                <w:szCs w:val="24"/>
                <w:lang w:eastAsia="uk-UA"/>
              </w:rPr>
              <w:br/>
              <w:t>до Методики (порядку)</w:t>
            </w:r>
            <w:r w:rsidRPr="00AE4E6A">
              <w:rPr>
                <w:rFonts w:ascii="Times New Roman" w:eastAsia="Times New Roman" w:hAnsi="Times New Roman" w:cs="Times New Roman"/>
                <w:sz w:val="24"/>
                <w:szCs w:val="24"/>
                <w:lang w:eastAsia="uk-UA"/>
              </w:rPr>
              <w:br/>
              <w:t>формування плати за приєднання</w:t>
            </w:r>
            <w:r w:rsidRPr="00AE4E6A">
              <w:rPr>
                <w:rFonts w:ascii="Times New Roman" w:eastAsia="Times New Roman" w:hAnsi="Times New Roman" w:cs="Times New Roman"/>
                <w:sz w:val="24"/>
                <w:szCs w:val="24"/>
                <w:lang w:eastAsia="uk-UA"/>
              </w:rPr>
              <w:br/>
              <w:t>до системи передачі та системи розподілу</w:t>
            </w:r>
          </w:p>
        </w:tc>
      </w:tr>
    </w:tbl>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8" w:name="n162"/>
      <w:bookmarkEnd w:id="188"/>
      <w:r w:rsidRPr="00AE4E6A">
        <w:rPr>
          <w:rFonts w:ascii="Times New Roman" w:eastAsia="Times New Roman" w:hAnsi="Times New Roman" w:cs="Times New Roman"/>
          <w:b/>
          <w:bCs/>
          <w:color w:val="333333"/>
          <w:sz w:val="28"/>
          <w:szCs w:val="28"/>
          <w:lang w:eastAsia="uk-UA"/>
        </w:rPr>
        <w:t>КОЕФІЦІЄНТ,</w:t>
      </w:r>
      <w:r w:rsidRPr="00AE4E6A">
        <w:rPr>
          <w:rFonts w:ascii="Times New Roman" w:eastAsia="Times New Roman" w:hAnsi="Times New Roman" w:cs="Times New Roman"/>
          <w:color w:val="333333"/>
          <w:sz w:val="24"/>
          <w:szCs w:val="24"/>
          <w:lang w:eastAsia="uk-UA"/>
        </w:rPr>
        <w:br/>
      </w:r>
      <w:r w:rsidRPr="00AE4E6A">
        <w:rPr>
          <w:rFonts w:ascii="Times New Roman" w:eastAsia="Times New Roman" w:hAnsi="Times New Roman" w:cs="Times New Roman"/>
          <w:b/>
          <w:bCs/>
          <w:color w:val="333333"/>
          <w:sz w:val="28"/>
          <w:szCs w:val="28"/>
          <w:lang w:eastAsia="uk-UA"/>
        </w:rPr>
        <w:t xml:space="preserve">що враховує місцезнаходження електроустановок замовника </w:t>
      </w:r>
      <w:proofErr w:type="spellStart"/>
      <w:r w:rsidRPr="00AE4E6A">
        <w:rPr>
          <w:rFonts w:ascii="Times New Roman" w:eastAsia="Times New Roman" w:hAnsi="Times New Roman" w:cs="Times New Roman"/>
          <w:b/>
          <w:bCs/>
          <w:color w:val="333333"/>
          <w:sz w:val="28"/>
          <w:szCs w:val="28"/>
          <w:lang w:eastAsia="uk-UA"/>
        </w:rPr>
        <w:t>К</w:t>
      </w:r>
      <w:r w:rsidRPr="00AE4E6A">
        <w:rPr>
          <w:rFonts w:ascii="Times New Roman" w:eastAsia="Times New Roman" w:hAnsi="Times New Roman" w:cs="Times New Roman"/>
          <w:b/>
          <w:bCs/>
          <w:color w:val="333333"/>
          <w:sz w:val="16"/>
          <w:szCs w:val="16"/>
          <w:vertAlign w:val="subscript"/>
          <w:lang w:eastAsia="uk-UA"/>
        </w:rPr>
        <w:t>місц</w:t>
      </w:r>
      <w:proofErr w:type="spellEnd"/>
    </w:p>
    <w:tbl>
      <w:tblPr>
        <w:tblW w:w="5000" w:type="pct"/>
        <w:tblCellMar>
          <w:top w:w="60" w:type="dxa"/>
          <w:left w:w="60" w:type="dxa"/>
          <w:bottom w:w="60" w:type="dxa"/>
          <w:right w:w="60" w:type="dxa"/>
        </w:tblCellMar>
        <w:tblLook w:val="04A0" w:firstRow="1" w:lastRow="0" w:firstColumn="1" w:lastColumn="0" w:noHBand="0" w:noVBand="1"/>
      </w:tblPr>
      <w:tblGrid>
        <w:gridCol w:w="4669"/>
        <w:gridCol w:w="4670"/>
      </w:tblGrid>
      <w:tr w:rsidR="00AE4E6A" w:rsidRPr="00AE4E6A" w:rsidTr="00AE4E6A">
        <w:trPr>
          <w:trHeight w:val="615"/>
        </w:trPr>
        <w:tc>
          <w:tcPr>
            <w:tcW w:w="333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bookmarkStart w:id="189" w:name="n311"/>
            <w:bookmarkEnd w:id="189"/>
            <w:r w:rsidRPr="00AE4E6A">
              <w:rPr>
                <w:rFonts w:ascii="Times New Roman" w:eastAsia="Times New Roman" w:hAnsi="Times New Roman" w:cs="Times New Roman"/>
                <w:sz w:val="24"/>
                <w:szCs w:val="24"/>
                <w:lang w:eastAsia="uk-UA"/>
              </w:rPr>
              <w:t>Місцевість</w:t>
            </w:r>
          </w:p>
        </w:tc>
        <w:tc>
          <w:tcPr>
            <w:tcW w:w="333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after="0" w:line="240" w:lineRule="auto"/>
              <w:rPr>
                <w:rFonts w:ascii="Times New Roman" w:eastAsia="Times New Roman" w:hAnsi="Times New Roman" w:cs="Times New Roman"/>
                <w:sz w:val="24"/>
                <w:szCs w:val="24"/>
                <w:lang w:eastAsia="uk-UA"/>
              </w:rPr>
            </w:pPr>
          </w:p>
        </w:tc>
      </w:tr>
      <w:tr w:rsidR="00AE4E6A" w:rsidRPr="00AE4E6A" w:rsidTr="00AE4E6A">
        <w:trPr>
          <w:trHeight w:val="600"/>
        </w:trPr>
        <w:tc>
          <w:tcPr>
            <w:tcW w:w="333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Міська місцевість</w:t>
            </w:r>
          </w:p>
        </w:tc>
        <w:tc>
          <w:tcPr>
            <w:tcW w:w="333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w:t>
            </w:r>
          </w:p>
        </w:tc>
      </w:tr>
      <w:tr w:rsidR="00AE4E6A" w:rsidRPr="00AE4E6A" w:rsidTr="00AE4E6A">
        <w:trPr>
          <w:trHeight w:val="660"/>
        </w:trPr>
        <w:tc>
          <w:tcPr>
            <w:tcW w:w="333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Сільська місцевість</w:t>
            </w:r>
          </w:p>
        </w:tc>
        <w:tc>
          <w:tcPr>
            <w:tcW w:w="333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0,98</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0" w:name="n310"/>
      <w:bookmarkEnd w:id="190"/>
      <w:r w:rsidRPr="00AE4E6A">
        <w:rPr>
          <w:rFonts w:ascii="Times New Roman" w:eastAsia="Times New Roman" w:hAnsi="Times New Roman" w:cs="Times New Roman"/>
          <w:i/>
          <w:iCs/>
          <w:color w:val="333333"/>
          <w:sz w:val="24"/>
          <w:szCs w:val="24"/>
          <w:shd w:val="clear" w:color="auto" w:fill="FFFFFF"/>
          <w:lang w:eastAsia="uk-UA"/>
        </w:rPr>
        <w:t>{Додаток в редакції Постанови Національної комісії, що здійснює державне регулювання у сферах енергетики та комунальних послуг </w:t>
      </w:r>
      <w:hyperlink r:id="rId128" w:anchor="n135" w:tgtFrame="_blank" w:history="1">
        <w:r w:rsidRPr="00AE4E6A">
          <w:rPr>
            <w:rFonts w:ascii="Times New Roman" w:eastAsia="Times New Roman" w:hAnsi="Times New Roman" w:cs="Times New Roman"/>
            <w:i/>
            <w:iCs/>
            <w:color w:val="0000FF"/>
            <w:sz w:val="24"/>
            <w:szCs w:val="24"/>
            <w:u w:val="single"/>
            <w:lang w:eastAsia="uk-UA"/>
          </w:rPr>
          <w:t>№ 2161 від 25.11.2020</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pacing w:after="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lastRenderedPageBreak/>
        <w:pict>
          <v:rect id="_x0000_i1034"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AE4E6A" w:rsidRPr="00AE4E6A" w:rsidTr="00AE4E6A">
        <w:tc>
          <w:tcPr>
            <w:tcW w:w="225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91" w:name="n178"/>
            <w:bookmarkStart w:id="192" w:name="n164"/>
            <w:bookmarkEnd w:id="191"/>
            <w:bookmarkEnd w:id="192"/>
          </w:p>
        </w:tc>
        <w:tc>
          <w:tcPr>
            <w:tcW w:w="20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Додаток 7</w:t>
            </w:r>
            <w:r w:rsidRPr="00AE4E6A">
              <w:rPr>
                <w:rFonts w:ascii="Times New Roman" w:eastAsia="Times New Roman" w:hAnsi="Times New Roman" w:cs="Times New Roman"/>
                <w:sz w:val="24"/>
                <w:szCs w:val="24"/>
                <w:lang w:eastAsia="uk-UA"/>
              </w:rPr>
              <w:br/>
              <w:t>до Методики (порядку)</w:t>
            </w:r>
            <w:r w:rsidRPr="00AE4E6A">
              <w:rPr>
                <w:rFonts w:ascii="Times New Roman" w:eastAsia="Times New Roman" w:hAnsi="Times New Roman" w:cs="Times New Roman"/>
                <w:sz w:val="24"/>
                <w:szCs w:val="24"/>
                <w:lang w:eastAsia="uk-UA"/>
              </w:rPr>
              <w:br/>
              <w:t>формування плати за приєднання</w:t>
            </w:r>
            <w:r w:rsidRPr="00AE4E6A">
              <w:rPr>
                <w:rFonts w:ascii="Times New Roman" w:eastAsia="Times New Roman" w:hAnsi="Times New Roman" w:cs="Times New Roman"/>
                <w:sz w:val="24"/>
                <w:szCs w:val="24"/>
                <w:lang w:eastAsia="uk-UA"/>
              </w:rPr>
              <w:br/>
              <w:t>до системи передачі та системи розподілу</w:t>
            </w:r>
          </w:p>
        </w:tc>
      </w:tr>
    </w:tbl>
    <w:bookmarkStart w:id="193" w:name="n165"/>
    <w:bookmarkEnd w:id="193"/>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AE4E6A">
        <w:rPr>
          <w:rFonts w:ascii="Times New Roman" w:eastAsia="Times New Roman" w:hAnsi="Times New Roman" w:cs="Times New Roman"/>
          <w:color w:val="333333"/>
          <w:sz w:val="24"/>
          <w:szCs w:val="24"/>
          <w:lang w:eastAsia="uk-UA"/>
        </w:rPr>
        <w:fldChar w:fldCharType="begin"/>
      </w:r>
      <w:r w:rsidRPr="00AE4E6A">
        <w:rPr>
          <w:rFonts w:ascii="Times New Roman" w:eastAsia="Times New Roman" w:hAnsi="Times New Roman" w:cs="Times New Roman"/>
          <w:color w:val="333333"/>
          <w:sz w:val="24"/>
          <w:szCs w:val="24"/>
          <w:lang w:eastAsia="uk-UA"/>
        </w:rPr>
        <w:instrText xml:space="preserve"> HYPERLINK "https://zakon.rada.gov.ua/laws/file/text/98/f480243n366.doc" </w:instrText>
      </w:r>
      <w:r w:rsidRPr="00AE4E6A">
        <w:rPr>
          <w:rFonts w:ascii="Times New Roman" w:eastAsia="Times New Roman" w:hAnsi="Times New Roman" w:cs="Times New Roman"/>
          <w:color w:val="333333"/>
          <w:sz w:val="24"/>
          <w:szCs w:val="24"/>
          <w:lang w:eastAsia="uk-UA"/>
        </w:rPr>
        <w:fldChar w:fldCharType="separate"/>
      </w:r>
      <w:r w:rsidRPr="00AE4E6A">
        <w:rPr>
          <w:rFonts w:ascii="Times New Roman" w:eastAsia="Times New Roman" w:hAnsi="Times New Roman" w:cs="Times New Roman"/>
          <w:b/>
          <w:bCs/>
          <w:color w:val="0000FF"/>
          <w:sz w:val="28"/>
          <w:szCs w:val="28"/>
          <w:u w:val="single"/>
          <w:lang w:eastAsia="uk-UA"/>
        </w:rPr>
        <w:t>ВИХІДНІ ДАНІ</w:t>
      </w:r>
      <w:r w:rsidRPr="00AE4E6A">
        <w:rPr>
          <w:rFonts w:ascii="Times New Roman" w:eastAsia="Times New Roman" w:hAnsi="Times New Roman" w:cs="Times New Roman"/>
          <w:color w:val="333333"/>
          <w:sz w:val="24"/>
          <w:szCs w:val="24"/>
          <w:lang w:eastAsia="uk-UA"/>
        </w:rPr>
        <w:fldChar w:fldCharType="end"/>
      </w:r>
      <w:r w:rsidRPr="00AE4E6A">
        <w:rPr>
          <w:rFonts w:ascii="Times New Roman" w:eastAsia="Times New Roman" w:hAnsi="Times New Roman" w:cs="Times New Roman"/>
          <w:color w:val="333333"/>
          <w:sz w:val="24"/>
          <w:szCs w:val="24"/>
          <w:lang w:eastAsia="uk-UA"/>
        </w:rPr>
        <w:br/>
      </w:r>
      <w:r w:rsidRPr="00AE4E6A">
        <w:rPr>
          <w:rFonts w:ascii="Times New Roman" w:eastAsia="Times New Roman" w:hAnsi="Times New Roman" w:cs="Times New Roman"/>
          <w:b/>
          <w:bCs/>
          <w:color w:val="333333"/>
          <w:sz w:val="28"/>
          <w:szCs w:val="28"/>
          <w:lang w:eastAsia="uk-UA"/>
        </w:rPr>
        <w:t>для розрахунку коефіцієнта завантаження трансформаторних підстанцій (ПС) основної мережі напругою 35-110(154) кВ відповідно до територіальних одиниць оператора системи розподілу (ОСР)</w:t>
      </w:r>
    </w:p>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4" w:name="n312"/>
      <w:bookmarkEnd w:id="194"/>
      <w:r w:rsidRPr="00AE4E6A">
        <w:rPr>
          <w:rFonts w:ascii="Times New Roman" w:eastAsia="Times New Roman" w:hAnsi="Times New Roman" w:cs="Times New Roman"/>
          <w:i/>
          <w:iCs/>
          <w:color w:val="333333"/>
          <w:sz w:val="24"/>
          <w:szCs w:val="24"/>
          <w:shd w:val="clear" w:color="auto" w:fill="FFFFFF"/>
          <w:lang w:eastAsia="uk-UA"/>
        </w:rPr>
        <w:t>{Додаток в редакції Постанови Національної комісії, що здійснює державне регулювання у сферах енергетики та комунальних послуг </w:t>
      </w:r>
      <w:hyperlink r:id="rId129" w:anchor="n138" w:tgtFrame="_blank" w:history="1">
        <w:r w:rsidRPr="00AE4E6A">
          <w:rPr>
            <w:rFonts w:ascii="Times New Roman" w:eastAsia="Times New Roman" w:hAnsi="Times New Roman" w:cs="Times New Roman"/>
            <w:i/>
            <w:iCs/>
            <w:color w:val="0000FF"/>
            <w:sz w:val="24"/>
            <w:szCs w:val="24"/>
            <w:u w:val="single"/>
            <w:lang w:eastAsia="uk-UA"/>
          </w:rPr>
          <w:t>№ 2161 від 25.11.2020</w:t>
        </w:r>
      </w:hyperlink>
      <w:r w:rsidRPr="00AE4E6A">
        <w:rPr>
          <w:rFonts w:ascii="Times New Roman" w:eastAsia="Times New Roman" w:hAnsi="Times New Roman" w:cs="Times New Roman"/>
          <w:i/>
          <w:iCs/>
          <w:color w:val="333333"/>
          <w:sz w:val="24"/>
          <w:szCs w:val="24"/>
          <w:shd w:val="clear" w:color="auto" w:fill="FFFFFF"/>
          <w:lang w:eastAsia="uk-UA"/>
        </w:rPr>
        <w:t>}</w:t>
      </w:r>
    </w:p>
    <w:p w:rsidR="00AE4E6A" w:rsidRPr="00AE4E6A" w:rsidRDefault="00AE4E6A" w:rsidP="00AE4E6A">
      <w:pPr>
        <w:spacing w:after="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pict>
          <v:rect id="_x0000_i103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AE4E6A" w:rsidRPr="00AE4E6A" w:rsidTr="00AE4E6A">
        <w:tc>
          <w:tcPr>
            <w:tcW w:w="225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95" w:name="n184"/>
            <w:bookmarkStart w:id="196" w:name="n167"/>
            <w:bookmarkEnd w:id="195"/>
            <w:bookmarkEnd w:id="196"/>
          </w:p>
        </w:tc>
        <w:tc>
          <w:tcPr>
            <w:tcW w:w="2000" w:type="pct"/>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Додаток 8</w:t>
            </w:r>
            <w:r w:rsidRPr="00AE4E6A">
              <w:rPr>
                <w:rFonts w:ascii="Times New Roman" w:eastAsia="Times New Roman" w:hAnsi="Times New Roman" w:cs="Times New Roman"/>
                <w:sz w:val="24"/>
                <w:szCs w:val="24"/>
                <w:lang w:eastAsia="uk-UA"/>
              </w:rPr>
              <w:br/>
              <w:t>до Методики (порядку)</w:t>
            </w:r>
            <w:r w:rsidRPr="00AE4E6A">
              <w:rPr>
                <w:rFonts w:ascii="Times New Roman" w:eastAsia="Times New Roman" w:hAnsi="Times New Roman" w:cs="Times New Roman"/>
                <w:sz w:val="24"/>
                <w:szCs w:val="24"/>
                <w:lang w:eastAsia="uk-UA"/>
              </w:rPr>
              <w:br/>
              <w:t>формування плати за приєднання</w:t>
            </w:r>
            <w:r w:rsidRPr="00AE4E6A">
              <w:rPr>
                <w:rFonts w:ascii="Times New Roman" w:eastAsia="Times New Roman" w:hAnsi="Times New Roman" w:cs="Times New Roman"/>
                <w:sz w:val="24"/>
                <w:szCs w:val="24"/>
                <w:lang w:eastAsia="uk-UA"/>
              </w:rPr>
              <w:br/>
              <w:t>до системи передачі та системи розподілу</w:t>
            </w:r>
          </w:p>
        </w:tc>
      </w:tr>
    </w:tbl>
    <w:p w:rsidR="00AE4E6A" w:rsidRPr="00AE4E6A" w:rsidRDefault="00AE4E6A" w:rsidP="00AE4E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7" w:name="n168"/>
      <w:bookmarkEnd w:id="197"/>
      <w:r w:rsidRPr="00AE4E6A">
        <w:rPr>
          <w:rFonts w:ascii="Times New Roman" w:eastAsia="Times New Roman" w:hAnsi="Times New Roman" w:cs="Times New Roman"/>
          <w:b/>
          <w:bCs/>
          <w:color w:val="333333"/>
          <w:sz w:val="28"/>
          <w:szCs w:val="28"/>
          <w:lang w:eastAsia="uk-UA"/>
        </w:rPr>
        <w:t>ВАРТІСТЬ</w:t>
      </w:r>
      <w:r w:rsidRPr="00AE4E6A">
        <w:rPr>
          <w:rFonts w:ascii="Times New Roman" w:eastAsia="Times New Roman" w:hAnsi="Times New Roman" w:cs="Times New Roman"/>
          <w:color w:val="333333"/>
          <w:sz w:val="24"/>
          <w:szCs w:val="24"/>
          <w:lang w:eastAsia="uk-UA"/>
        </w:rPr>
        <w:br/>
      </w:r>
      <w:r w:rsidRPr="00AE4E6A">
        <w:rPr>
          <w:rFonts w:ascii="Times New Roman" w:eastAsia="Times New Roman" w:hAnsi="Times New Roman" w:cs="Times New Roman"/>
          <w:b/>
          <w:bCs/>
          <w:color w:val="333333"/>
          <w:sz w:val="28"/>
          <w:szCs w:val="28"/>
          <w:lang w:eastAsia="uk-UA"/>
        </w:rPr>
        <w:t xml:space="preserve">будівництва ліній </w:t>
      </w:r>
      <w:proofErr w:type="spellStart"/>
      <w:r w:rsidRPr="00AE4E6A">
        <w:rPr>
          <w:rFonts w:ascii="Times New Roman" w:eastAsia="Times New Roman" w:hAnsi="Times New Roman" w:cs="Times New Roman"/>
          <w:b/>
          <w:bCs/>
          <w:color w:val="333333"/>
          <w:sz w:val="28"/>
          <w:szCs w:val="28"/>
          <w:lang w:eastAsia="uk-UA"/>
        </w:rPr>
        <w:t>електропередавання</w:t>
      </w:r>
      <w:proofErr w:type="spellEnd"/>
      <w:r w:rsidRPr="00AE4E6A">
        <w:rPr>
          <w:rFonts w:ascii="Times New Roman" w:eastAsia="Times New Roman" w:hAnsi="Times New Roman" w:cs="Times New Roman"/>
          <w:b/>
          <w:bCs/>
          <w:color w:val="333333"/>
          <w:sz w:val="28"/>
          <w:szCs w:val="28"/>
          <w:lang w:eastAsia="uk-UA"/>
        </w:rPr>
        <w:t xml:space="preserve"> на відповідних ступенях напруги (на 2018 рік) </w:t>
      </w:r>
      <w:proofErr w:type="spellStart"/>
      <w:r w:rsidRPr="00AE4E6A">
        <w:rPr>
          <w:rFonts w:ascii="Times New Roman" w:eastAsia="Times New Roman" w:hAnsi="Times New Roman" w:cs="Times New Roman"/>
          <w:b/>
          <w:bCs/>
          <w:color w:val="333333"/>
          <w:sz w:val="28"/>
          <w:szCs w:val="28"/>
          <w:lang w:eastAsia="uk-UA"/>
        </w:rPr>
        <w:t>В</w:t>
      </w:r>
      <w:r w:rsidRPr="00AE4E6A">
        <w:rPr>
          <w:rFonts w:ascii="Times New Roman" w:eastAsia="Times New Roman" w:hAnsi="Times New Roman" w:cs="Times New Roman"/>
          <w:b/>
          <w:bCs/>
          <w:color w:val="333333"/>
          <w:sz w:val="16"/>
          <w:szCs w:val="16"/>
          <w:vertAlign w:val="superscript"/>
          <w:lang w:eastAsia="uk-UA"/>
        </w:rPr>
        <w:t>н</w:t>
      </w:r>
      <w:r w:rsidRPr="00AE4E6A">
        <w:rPr>
          <w:rFonts w:ascii="Times New Roman" w:eastAsia="Times New Roman" w:hAnsi="Times New Roman" w:cs="Times New Roman"/>
          <w:b/>
          <w:bCs/>
          <w:color w:val="333333"/>
          <w:sz w:val="16"/>
          <w:szCs w:val="16"/>
          <w:vertAlign w:val="subscript"/>
          <w:lang w:eastAsia="uk-UA"/>
        </w:rPr>
        <w:t>укр</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1475"/>
        <w:gridCol w:w="392"/>
        <w:gridCol w:w="1868"/>
        <w:gridCol w:w="1868"/>
        <w:gridCol w:w="1868"/>
        <w:gridCol w:w="1868"/>
      </w:tblGrid>
      <w:tr w:rsidR="00AE4E6A" w:rsidRPr="00AE4E6A" w:rsidTr="00AE4E6A">
        <w:trPr>
          <w:trHeight w:val="615"/>
        </w:trPr>
        <w:tc>
          <w:tcPr>
            <w:tcW w:w="1860" w:type="dxa"/>
            <w:gridSpan w:val="2"/>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bookmarkStart w:id="198" w:name="n315"/>
            <w:bookmarkEnd w:id="198"/>
            <w:r w:rsidRPr="00AE4E6A">
              <w:rPr>
                <w:rFonts w:ascii="Times New Roman" w:eastAsia="Times New Roman" w:hAnsi="Times New Roman" w:cs="Times New Roman"/>
                <w:sz w:val="24"/>
                <w:szCs w:val="24"/>
                <w:lang w:eastAsia="uk-UA"/>
              </w:rPr>
              <w:t>,</w:t>
            </w:r>
            <w:r w:rsidRPr="00AE4E6A">
              <w:rPr>
                <w:rFonts w:ascii="Times New Roman" w:eastAsia="Times New Roman" w:hAnsi="Times New Roman" w:cs="Times New Roman"/>
                <w:sz w:val="24"/>
                <w:szCs w:val="24"/>
                <w:lang w:eastAsia="uk-UA"/>
              </w:rPr>
              <w:br/>
              <w:t>тис. грн/км</w:t>
            </w:r>
            <w:r w:rsidRPr="00AE4E6A">
              <w:rPr>
                <w:rFonts w:ascii="Times New Roman" w:eastAsia="Times New Roman" w:hAnsi="Times New Roman" w:cs="Times New Roman"/>
                <w:sz w:val="24"/>
                <w:szCs w:val="24"/>
                <w:lang w:eastAsia="uk-UA"/>
              </w:rPr>
              <w:br/>
              <w:t>(без ПДВ)</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ЛЕП 0,4(0,23) кВ</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ЛЕП 6(10)20 кВ</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ЛЕП 35 кВ</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ЛЕП 110(154) кВ</w:t>
            </w:r>
          </w:p>
        </w:tc>
      </w:tr>
      <w:tr w:rsidR="00AE4E6A" w:rsidRPr="00AE4E6A" w:rsidTr="00AE4E6A">
        <w:trPr>
          <w:trHeight w:val="600"/>
        </w:trPr>
        <w:tc>
          <w:tcPr>
            <w:tcW w:w="1860" w:type="dxa"/>
            <w:gridSpan w:val="2"/>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ПЛ</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712,98</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619,96</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1361,19</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1941,73</w:t>
            </w:r>
          </w:p>
        </w:tc>
      </w:tr>
      <w:tr w:rsidR="00AE4E6A" w:rsidRPr="00AE4E6A" w:rsidTr="00AE4E6A">
        <w:trPr>
          <w:trHeight w:val="660"/>
        </w:trPr>
        <w:tc>
          <w:tcPr>
            <w:tcW w:w="1860" w:type="dxa"/>
            <w:gridSpan w:val="2"/>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КЛ</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1562,18</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2131,10</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3906,47</w:t>
            </w:r>
          </w:p>
        </w:tc>
        <w:tc>
          <w:tcPr>
            <w:tcW w:w="1860" w:type="dxa"/>
            <w:tcBorders>
              <w:top w:val="single" w:sz="6" w:space="0" w:color="000000"/>
              <w:left w:val="single" w:sz="6" w:space="0" w:color="000000"/>
              <w:bottom w:val="single" w:sz="6" w:space="0" w:color="000000"/>
              <w:right w:val="single" w:sz="6" w:space="0" w:color="000000"/>
            </w:tcBorders>
            <w:hideMark/>
          </w:tcPr>
          <w:p w:rsidR="00AE4E6A" w:rsidRPr="00AE4E6A" w:rsidRDefault="00AE4E6A" w:rsidP="00AE4E6A">
            <w:pPr>
              <w:spacing w:before="150" w:after="150" w:line="240" w:lineRule="auto"/>
              <w:jc w:val="center"/>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t>–</w:t>
            </w:r>
          </w:p>
        </w:tc>
      </w:tr>
      <w:tr w:rsidR="00AE4E6A" w:rsidRPr="00AE4E6A" w:rsidTr="00AE4E6A">
        <w:tblPrEx>
          <w:tblCellMar>
            <w:top w:w="60" w:type="dxa"/>
            <w:left w:w="60" w:type="dxa"/>
            <w:bottom w:w="60" w:type="dxa"/>
            <w:right w:w="60" w:type="dxa"/>
          </w:tblCellMar>
        </w:tblPrEx>
        <w:tc>
          <w:tcPr>
            <w:tcW w:w="1470" w:type="dxa"/>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bookmarkStart w:id="199" w:name="n316"/>
            <w:bookmarkEnd w:id="199"/>
            <w:r w:rsidRPr="00AE4E6A">
              <w:rPr>
                <w:rFonts w:ascii="Times New Roman" w:eastAsia="Times New Roman" w:hAnsi="Times New Roman" w:cs="Times New Roman"/>
                <w:sz w:val="20"/>
                <w:szCs w:val="20"/>
                <w:lang w:eastAsia="uk-UA"/>
              </w:rPr>
              <w:t>__________</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sz w:val="20"/>
                <w:szCs w:val="20"/>
                <w:lang w:eastAsia="uk-UA"/>
              </w:rPr>
              <w:t>Примітки:</w:t>
            </w:r>
          </w:p>
        </w:tc>
        <w:tc>
          <w:tcPr>
            <w:tcW w:w="7650" w:type="dxa"/>
            <w:gridSpan w:val="5"/>
            <w:tcBorders>
              <w:top w:val="single" w:sz="2" w:space="0" w:color="auto"/>
              <w:left w:val="single" w:sz="2" w:space="0" w:color="auto"/>
              <w:bottom w:val="single" w:sz="2" w:space="0" w:color="auto"/>
              <w:right w:val="single" w:sz="2" w:space="0" w:color="auto"/>
            </w:tcBorders>
            <w:hideMark/>
          </w:tcPr>
          <w:p w:rsidR="00AE4E6A" w:rsidRPr="00AE4E6A" w:rsidRDefault="00AE4E6A" w:rsidP="00AE4E6A">
            <w:pPr>
              <w:spacing w:before="150" w:after="150" w:line="240" w:lineRule="auto"/>
              <w:rPr>
                <w:rFonts w:ascii="Times New Roman" w:eastAsia="Times New Roman" w:hAnsi="Times New Roman" w:cs="Times New Roman"/>
                <w:sz w:val="24"/>
                <w:szCs w:val="24"/>
                <w:lang w:eastAsia="uk-UA"/>
              </w:rPr>
            </w:pP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sz w:val="20"/>
                <w:szCs w:val="20"/>
                <w:lang w:eastAsia="uk-UA"/>
              </w:rPr>
              <w:t xml:space="preserve">1. Для розподілу електричної енергії на ступені напруги 0,4(0,23) кВ у межах міст та для приєднання багатоквартирних будинків та багатоповерхових будівель використовуються кабельні лінії (КЛ) </w:t>
            </w:r>
            <w:proofErr w:type="spellStart"/>
            <w:r w:rsidRPr="00AE4E6A">
              <w:rPr>
                <w:rFonts w:ascii="Times New Roman" w:eastAsia="Times New Roman" w:hAnsi="Times New Roman" w:cs="Times New Roman"/>
                <w:sz w:val="20"/>
                <w:szCs w:val="20"/>
                <w:lang w:eastAsia="uk-UA"/>
              </w:rPr>
              <w:t>електропередавання</w:t>
            </w:r>
            <w:proofErr w:type="spellEnd"/>
            <w:r w:rsidRPr="00AE4E6A">
              <w:rPr>
                <w:rFonts w:ascii="Times New Roman" w:eastAsia="Times New Roman" w:hAnsi="Times New Roman" w:cs="Times New Roman"/>
                <w:sz w:val="20"/>
                <w:szCs w:val="20"/>
                <w:lang w:eastAsia="uk-UA"/>
              </w:rPr>
              <w:t>.</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sz w:val="20"/>
                <w:szCs w:val="20"/>
                <w:lang w:eastAsia="uk-UA"/>
              </w:rPr>
              <w:t xml:space="preserve">2. У випадках забудови сільської місцевості, а також індивідуальних житлових будинків у межах міст рекомендовано використовувати повітряні лінії (ПЛ) </w:t>
            </w:r>
            <w:proofErr w:type="spellStart"/>
            <w:r w:rsidRPr="00AE4E6A">
              <w:rPr>
                <w:rFonts w:ascii="Times New Roman" w:eastAsia="Times New Roman" w:hAnsi="Times New Roman" w:cs="Times New Roman"/>
                <w:sz w:val="20"/>
                <w:szCs w:val="20"/>
                <w:lang w:eastAsia="uk-UA"/>
              </w:rPr>
              <w:t>електропередавання</w:t>
            </w:r>
            <w:proofErr w:type="spellEnd"/>
            <w:r w:rsidRPr="00AE4E6A">
              <w:rPr>
                <w:rFonts w:ascii="Times New Roman" w:eastAsia="Times New Roman" w:hAnsi="Times New Roman" w:cs="Times New Roman"/>
                <w:sz w:val="20"/>
                <w:szCs w:val="20"/>
                <w:lang w:eastAsia="uk-UA"/>
              </w:rPr>
              <w:t>.</w:t>
            </w:r>
            <w:r w:rsidRPr="00AE4E6A">
              <w:rPr>
                <w:rFonts w:ascii="Times New Roman" w:eastAsia="Times New Roman" w:hAnsi="Times New Roman" w:cs="Times New Roman"/>
                <w:sz w:val="24"/>
                <w:szCs w:val="24"/>
                <w:lang w:eastAsia="uk-UA"/>
              </w:rPr>
              <w:br/>
            </w:r>
            <w:r w:rsidRPr="00AE4E6A">
              <w:rPr>
                <w:rFonts w:ascii="Times New Roman" w:eastAsia="Times New Roman" w:hAnsi="Times New Roman" w:cs="Times New Roman"/>
                <w:sz w:val="20"/>
                <w:szCs w:val="20"/>
                <w:lang w:eastAsia="uk-UA"/>
              </w:rPr>
              <w:t>3. Нове будівництво повітряних лінії напругою 20(10)6 кВ та 0,4(0,23) кВ виконується ізольованим проводом.</w:t>
            </w:r>
          </w:p>
        </w:tc>
      </w:tr>
    </w:tbl>
    <w:p w:rsidR="00AE4E6A" w:rsidRPr="00AE4E6A" w:rsidRDefault="00AE4E6A" w:rsidP="00AE4E6A">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0" w:name="n314"/>
      <w:bookmarkEnd w:id="200"/>
      <w:r w:rsidRPr="00AE4E6A">
        <w:rPr>
          <w:rFonts w:ascii="Times New Roman" w:eastAsia="Times New Roman" w:hAnsi="Times New Roman" w:cs="Times New Roman"/>
          <w:i/>
          <w:iCs/>
          <w:color w:val="333333"/>
          <w:sz w:val="24"/>
          <w:szCs w:val="24"/>
          <w:shd w:val="clear" w:color="auto" w:fill="FFFFFF"/>
          <w:lang w:eastAsia="uk-UA"/>
        </w:rPr>
        <w:t>{Додаток в редакції Постанови Національної комісії, що здійснює державне регулювання у сферах енергетики та комунальних послуг </w:t>
      </w:r>
      <w:hyperlink r:id="rId130" w:anchor="n140" w:tgtFrame="_blank" w:history="1">
        <w:r w:rsidRPr="00AE4E6A">
          <w:rPr>
            <w:rFonts w:ascii="Times New Roman" w:eastAsia="Times New Roman" w:hAnsi="Times New Roman" w:cs="Times New Roman"/>
            <w:i/>
            <w:iCs/>
            <w:color w:val="0000FF"/>
            <w:sz w:val="24"/>
            <w:szCs w:val="24"/>
            <w:u w:val="single"/>
            <w:lang w:eastAsia="uk-UA"/>
          </w:rPr>
          <w:t>№ 2161 від 25.11.2020</w:t>
        </w:r>
      </w:hyperlink>
      <w:r w:rsidRPr="00AE4E6A">
        <w:rPr>
          <w:rFonts w:ascii="Times New Roman" w:eastAsia="Times New Roman" w:hAnsi="Times New Roman" w:cs="Times New Roman"/>
          <w:i/>
          <w:iCs/>
          <w:color w:val="333333"/>
          <w:sz w:val="24"/>
          <w:szCs w:val="24"/>
          <w:shd w:val="clear" w:color="auto" w:fill="FFFFFF"/>
          <w:lang w:eastAsia="uk-UA"/>
        </w:rPr>
        <w:t>}</w:t>
      </w:r>
    </w:p>
    <w:p w:rsidR="0095504D" w:rsidRDefault="0095504D">
      <w:bookmarkStart w:id="201" w:name="_GoBack"/>
      <w:bookmarkEnd w:id="201"/>
    </w:p>
    <w:sectPr w:rsidR="0095504D" w:rsidSect="006F2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6A"/>
    <w:rsid w:val="006F2A7C"/>
    <w:rsid w:val="0095504D"/>
    <w:rsid w:val="00AE4E6A"/>
    <w:rsid w:val="00CB568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68A84-14F8-44DF-B4BB-5F5242A2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E4E6A"/>
  </w:style>
  <w:style w:type="character" w:customStyle="1" w:styleId="rvts23">
    <w:name w:val="rvts23"/>
    <w:basedOn w:val="a0"/>
    <w:rsid w:val="00AE4E6A"/>
  </w:style>
  <w:style w:type="paragraph" w:customStyle="1" w:styleId="rvps7">
    <w:name w:val="rvps7"/>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E4E6A"/>
  </w:style>
  <w:style w:type="paragraph" w:customStyle="1" w:styleId="rvps6">
    <w:name w:val="rvps6"/>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AE4E6A"/>
    <w:rPr>
      <w:i/>
      <w:iCs/>
    </w:rPr>
  </w:style>
  <w:style w:type="paragraph" w:customStyle="1" w:styleId="rvps18">
    <w:name w:val="rvps18"/>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E4E6A"/>
    <w:rPr>
      <w:color w:val="0000FF"/>
      <w:u w:val="single"/>
    </w:rPr>
  </w:style>
  <w:style w:type="character" w:styleId="a5">
    <w:name w:val="FollowedHyperlink"/>
    <w:basedOn w:val="a0"/>
    <w:uiPriority w:val="99"/>
    <w:semiHidden/>
    <w:unhideWhenUsed/>
    <w:rsid w:val="00AE4E6A"/>
    <w:rPr>
      <w:color w:val="800080"/>
      <w:u w:val="single"/>
    </w:rPr>
  </w:style>
  <w:style w:type="paragraph" w:customStyle="1" w:styleId="rvps2">
    <w:name w:val="rvps2"/>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AE4E6A"/>
  </w:style>
  <w:style w:type="character" w:customStyle="1" w:styleId="rvts46">
    <w:name w:val="rvts46"/>
    <w:basedOn w:val="a0"/>
    <w:rsid w:val="00AE4E6A"/>
  </w:style>
  <w:style w:type="character" w:customStyle="1" w:styleId="rvts44">
    <w:name w:val="rvts44"/>
    <w:basedOn w:val="a0"/>
    <w:rsid w:val="00AE4E6A"/>
  </w:style>
  <w:style w:type="paragraph" w:customStyle="1" w:styleId="rvps15">
    <w:name w:val="rvps15"/>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AE4E6A"/>
  </w:style>
  <w:style w:type="character" w:customStyle="1" w:styleId="rvts40">
    <w:name w:val="rvts40"/>
    <w:basedOn w:val="a0"/>
    <w:rsid w:val="00AE4E6A"/>
  </w:style>
  <w:style w:type="paragraph" w:customStyle="1" w:styleId="rvps12">
    <w:name w:val="rvps12"/>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AE4E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8">
    <w:name w:val="rvts58"/>
    <w:basedOn w:val="a0"/>
    <w:rsid w:val="00AE4E6A"/>
  </w:style>
  <w:style w:type="character" w:customStyle="1" w:styleId="rvts37">
    <w:name w:val="rvts37"/>
    <w:basedOn w:val="a0"/>
    <w:rsid w:val="00AE4E6A"/>
  </w:style>
  <w:style w:type="character" w:customStyle="1" w:styleId="rvts80">
    <w:name w:val="rvts80"/>
    <w:basedOn w:val="a0"/>
    <w:rsid w:val="00AE4E6A"/>
  </w:style>
  <w:style w:type="character" w:customStyle="1" w:styleId="rvts19">
    <w:name w:val="rvts19"/>
    <w:basedOn w:val="a0"/>
    <w:rsid w:val="00AE4E6A"/>
  </w:style>
  <w:style w:type="character" w:customStyle="1" w:styleId="rvts82">
    <w:name w:val="rvts82"/>
    <w:basedOn w:val="a0"/>
    <w:rsid w:val="00AE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434669">
      <w:bodyDiv w:val="1"/>
      <w:marLeft w:val="0"/>
      <w:marRight w:val="0"/>
      <w:marTop w:val="0"/>
      <w:marBottom w:val="0"/>
      <w:divBdr>
        <w:top w:val="none" w:sz="0" w:space="0" w:color="auto"/>
        <w:left w:val="none" w:sz="0" w:space="0" w:color="auto"/>
        <w:bottom w:val="none" w:sz="0" w:space="0" w:color="auto"/>
        <w:right w:val="none" w:sz="0" w:space="0" w:color="auto"/>
      </w:divBdr>
      <w:divsChild>
        <w:div w:id="493883702">
          <w:marLeft w:val="0"/>
          <w:marRight w:val="0"/>
          <w:marTop w:val="150"/>
          <w:marBottom w:val="150"/>
          <w:divBdr>
            <w:top w:val="none" w:sz="0" w:space="0" w:color="auto"/>
            <w:left w:val="none" w:sz="0" w:space="0" w:color="auto"/>
            <w:bottom w:val="none" w:sz="0" w:space="0" w:color="auto"/>
            <w:right w:val="none" w:sz="0" w:space="0" w:color="auto"/>
          </w:divBdr>
        </w:div>
        <w:div w:id="1121342671">
          <w:marLeft w:val="0"/>
          <w:marRight w:val="0"/>
          <w:marTop w:val="0"/>
          <w:marBottom w:val="150"/>
          <w:divBdr>
            <w:top w:val="none" w:sz="0" w:space="0" w:color="auto"/>
            <w:left w:val="none" w:sz="0" w:space="0" w:color="auto"/>
            <w:bottom w:val="none" w:sz="0" w:space="0" w:color="auto"/>
            <w:right w:val="none" w:sz="0" w:space="0" w:color="auto"/>
          </w:divBdr>
        </w:div>
        <w:div w:id="151916157">
          <w:marLeft w:val="0"/>
          <w:marRight w:val="0"/>
          <w:marTop w:val="0"/>
          <w:marBottom w:val="150"/>
          <w:divBdr>
            <w:top w:val="none" w:sz="0" w:space="0" w:color="auto"/>
            <w:left w:val="none" w:sz="0" w:space="0" w:color="auto"/>
            <w:bottom w:val="none" w:sz="0" w:space="0" w:color="auto"/>
            <w:right w:val="none" w:sz="0" w:space="0" w:color="auto"/>
          </w:divBdr>
        </w:div>
        <w:div w:id="1140220887">
          <w:marLeft w:val="0"/>
          <w:marRight w:val="0"/>
          <w:marTop w:val="0"/>
          <w:marBottom w:val="150"/>
          <w:divBdr>
            <w:top w:val="none" w:sz="0" w:space="0" w:color="auto"/>
            <w:left w:val="none" w:sz="0" w:space="0" w:color="auto"/>
            <w:bottom w:val="none" w:sz="0" w:space="0" w:color="auto"/>
            <w:right w:val="none" w:sz="0" w:space="0" w:color="auto"/>
          </w:divBdr>
        </w:div>
        <w:div w:id="2073652800">
          <w:marLeft w:val="0"/>
          <w:marRight w:val="0"/>
          <w:marTop w:val="0"/>
          <w:marBottom w:val="150"/>
          <w:divBdr>
            <w:top w:val="none" w:sz="0" w:space="0" w:color="auto"/>
            <w:left w:val="none" w:sz="0" w:space="0" w:color="auto"/>
            <w:bottom w:val="none" w:sz="0" w:space="0" w:color="auto"/>
            <w:right w:val="none" w:sz="0" w:space="0" w:color="auto"/>
          </w:divBdr>
        </w:div>
        <w:div w:id="665859846">
          <w:marLeft w:val="0"/>
          <w:marRight w:val="0"/>
          <w:marTop w:val="150"/>
          <w:marBottom w:val="150"/>
          <w:divBdr>
            <w:top w:val="none" w:sz="0" w:space="0" w:color="auto"/>
            <w:left w:val="none" w:sz="0" w:space="0" w:color="auto"/>
            <w:bottom w:val="none" w:sz="0" w:space="0" w:color="auto"/>
            <w:right w:val="none" w:sz="0" w:space="0" w:color="auto"/>
          </w:divBdr>
        </w:div>
        <w:div w:id="1265379542">
          <w:marLeft w:val="0"/>
          <w:marRight w:val="0"/>
          <w:marTop w:val="0"/>
          <w:marBottom w:val="150"/>
          <w:divBdr>
            <w:top w:val="none" w:sz="0" w:space="0" w:color="auto"/>
            <w:left w:val="none" w:sz="0" w:space="0" w:color="auto"/>
            <w:bottom w:val="none" w:sz="0" w:space="0" w:color="auto"/>
            <w:right w:val="none" w:sz="0" w:space="0" w:color="auto"/>
          </w:divBdr>
        </w:div>
        <w:div w:id="1058701107">
          <w:marLeft w:val="0"/>
          <w:marRight w:val="0"/>
          <w:marTop w:val="0"/>
          <w:marBottom w:val="150"/>
          <w:divBdr>
            <w:top w:val="none" w:sz="0" w:space="0" w:color="auto"/>
            <w:left w:val="none" w:sz="0" w:space="0" w:color="auto"/>
            <w:bottom w:val="none" w:sz="0" w:space="0" w:color="auto"/>
            <w:right w:val="none" w:sz="0" w:space="0" w:color="auto"/>
          </w:divBdr>
        </w:div>
        <w:div w:id="2014330478">
          <w:marLeft w:val="0"/>
          <w:marRight w:val="0"/>
          <w:marTop w:val="0"/>
          <w:marBottom w:val="150"/>
          <w:divBdr>
            <w:top w:val="none" w:sz="0" w:space="0" w:color="auto"/>
            <w:left w:val="none" w:sz="0" w:space="0" w:color="auto"/>
            <w:bottom w:val="none" w:sz="0" w:space="0" w:color="auto"/>
            <w:right w:val="none" w:sz="0" w:space="0" w:color="auto"/>
          </w:divBdr>
        </w:div>
        <w:div w:id="1311858769">
          <w:marLeft w:val="0"/>
          <w:marRight w:val="0"/>
          <w:marTop w:val="0"/>
          <w:marBottom w:val="150"/>
          <w:divBdr>
            <w:top w:val="none" w:sz="0" w:space="0" w:color="auto"/>
            <w:left w:val="none" w:sz="0" w:space="0" w:color="auto"/>
            <w:bottom w:val="none" w:sz="0" w:space="0" w:color="auto"/>
            <w:right w:val="none" w:sz="0" w:space="0" w:color="auto"/>
          </w:divBdr>
        </w:div>
        <w:div w:id="1785347351">
          <w:marLeft w:val="0"/>
          <w:marRight w:val="0"/>
          <w:marTop w:val="0"/>
          <w:marBottom w:val="150"/>
          <w:divBdr>
            <w:top w:val="none" w:sz="0" w:space="0" w:color="auto"/>
            <w:left w:val="none" w:sz="0" w:space="0" w:color="auto"/>
            <w:bottom w:val="none" w:sz="0" w:space="0" w:color="auto"/>
            <w:right w:val="none" w:sz="0" w:space="0" w:color="auto"/>
          </w:divBdr>
        </w:div>
        <w:div w:id="1792824729">
          <w:marLeft w:val="0"/>
          <w:marRight w:val="0"/>
          <w:marTop w:val="0"/>
          <w:marBottom w:val="150"/>
          <w:divBdr>
            <w:top w:val="none" w:sz="0" w:space="0" w:color="auto"/>
            <w:left w:val="none" w:sz="0" w:space="0" w:color="auto"/>
            <w:bottom w:val="none" w:sz="0" w:space="0" w:color="auto"/>
            <w:right w:val="none" w:sz="0" w:space="0" w:color="auto"/>
          </w:divBdr>
        </w:div>
        <w:div w:id="1595748060">
          <w:marLeft w:val="0"/>
          <w:marRight w:val="0"/>
          <w:marTop w:val="0"/>
          <w:marBottom w:val="150"/>
          <w:divBdr>
            <w:top w:val="none" w:sz="0" w:space="0" w:color="auto"/>
            <w:left w:val="none" w:sz="0" w:space="0" w:color="auto"/>
            <w:bottom w:val="none" w:sz="0" w:space="0" w:color="auto"/>
            <w:right w:val="none" w:sz="0" w:space="0" w:color="auto"/>
          </w:divBdr>
        </w:div>
        <w:div w:id="1653363923">
          <w:marLeft w:val="0"/>
          <w:marRight w:val="0"/>
          <w:marTop w:val="0"/>
          <w:marBottom w:val="150"/>
          <w:divBdr>
            <w:top w:val="none" w:sz="0" w:space="0" w:color="auto"/>
            <w:left w:val="none" w:sz="0" w:space="0" w:color="auto"/>
            <w:bottom w:val="none" w:sz="0" w:space="0" w:color="auto"/>
            <w:right w:val="none" w:sz="0" w:space="0" w:color="auto"/>
          </w:divBdr>
        </w:div>
        <w:div w:id="2055277013">
          <w:marLeft w:val="0"/>
          <w:marRight w:val="0"/>
          <w:marTop w:val="0"/>
          <w:marBottom w:val="150"/>
          <w:divBdr>
            <w:top w:val="none" w:sz="0" w:space="0" w:color="auto"/>
            <w:left w:val="none" w:sz="0" w:space="0" w:color="auto"/>
            <w:bottom w:val="none" w:sz="0" w:space="0" w:color="auto"/>
            <w:right w:val="none" w:sz="0" w:space="0" w:color="auto"/>
          </w:divBdr>
        </w:div>
        <w:div w:id="686446427">
          <w:marLeft w:val="0"/>
          <w:marRight w:val="0"/>
          <w:marTop w:val="0"/>
          <w:marBottom w:val="150"/>
          <w:divBdr>
            <w:top w:val="none" w:sz="0" w:space="0" w:color="auto"/>
            <w:left w:val="none" w:sz="0" w:space="0" w:color="auto"/>
            <w:bottom w:val="none" w:sz="0" w:space="0" w:color="auto"/>
            <w:right w:val="none" w:sz="0" w:space="0" w:color="auto"/>
          </w:divBdr>
        </w:div>
        <w:div w:id="2050178941">
          <w:marLeft w:val="0"/>
          <w:marRight w:val="0"/>
          <w:marTop w:val="0"/>
          <w:marBottom w:val="150"/>
          <w:divBdr>
            <w:top w:val="none" w:sz="0" w:space="0" w:color="auto"/>
            <w:left w:val="none" w:sz="0" w:space="0" w:color="auto"/>
            <w:bottom w:val="none" w:sz="0" w:space="0" w:color="auto"/>
            <w:right w:val="none" w:sz="0" w:space="0" w:color="auto"/>
          </w:divBdr>
        </w:div>
        <w:div w:id="603657768">
          <w:marLeft w:val="0"/>
          <w:marRight w:val="0"/>
          <w:marTop w:val="0"/>
          <w:marBottom w:val="150"/>
          <w:divBdr>
            <w:top w:val="none" w:sz="0" w:space="0" w:color="auto"/>
            <w:left w:val="none" w:sz="0" w:space="0" w:color="auto"/>
            <w:bottom w:val="none" w:sz="0" w:space="0" w:color="auto"/>
            <w:right w:val="none" w:sz="0" w:space="0" w:color="auto"/>
          </w:divBdr>
        </w:div>
        <w:div w:id="147597203">
          <w:marLeft w:val="0"/>
          <w:marRight w:val="0"/>
          <w:marTop w:val="0"/>
          <w:marBottom w:val="150"/>
          <w:divBdr>
            <w:top w:val="none" w:sz="0" w:space="0" w:color="auto"/>
            <w:left w:val="none" w:sz="0" w:space="0" w:color="auto"/>
            <w:bottom w:val="none" w:sz="0" w:space="0" w:color="auto"/>
            <w:right w:val="none" w:sz="0" w:space="0" w:color="auto"/>
          </w:divBdr>
        </w:div>
        <w:div w:id="1749619333">
          <w:marLeft w:val="0"/>
          <w:marRight w:val="0"/>
          <w:marTop w:val="150"/>
          <w:marBottom w:val="150"/>
          <w:divBdr>
            <w:top w:val="none" w:sz="0" w:space="0" w:color="auto"/>
            <w:left w:val="none" w:sz="0" w:space="0" w:color="auto"/>
            <w:bottom w:val="none" w:sz="0" w:space="0" w:color="auto"/>
            <w:right w:val="none" w:sz="0" w:space="0" w:color="auto"/>
          </w:divBdr>
        </w:div>
        <w:div w:id="890189183">
          <w:marLeft w:val="0"/>
          <w:marRight w:val="0"/>
          <w:marTop w:val="0"/>
          <w:marBottom w:val="150"/>
          <w:divBdr>
            <w:top w:val="none" w:sz="0" w:space="0" w:color="auto"/>
            <w:left w:val="none" w:sz="0" w:space="0" w:color="auto"/>
            <w:bottom w:val="none" w:sz="0" w:space="0" w:color="auto"/>
            <w:right w:val="none" w:sz="0" w:space="0" w:color="auto"/>
          </w:divBdr>
        </w:div>
        <w:div w:id="1964920824">
          <w:marLeft w:val="0"/>
          <w:marRight w:val="0"/>
          <w:marTop w:val="0"/>
          <w:marBottom w:val="150"/>
          <w:divBdr>
            <w:top w:val="none" w:sz="0" w:space="0" w:color="auto"/>
            <w:left w:val="none" w:sz="0" w:space="0" w:color="auto"/>
            <w:bottom w:val="none" w:sz="0" w:space="0" w:color="auto"/>
            <w:right w:val="none" w:sz="0" w:space="0" w:color="auto"/>
          </w:divBdr>
        </w:div>
        <w:div w:id="1220436548">
          <w:marLeft w:val="0"/>
          <w:marRight w:val="0"/>
          <w:marTop w:val="0"/>
          <w:marBottom w:val="150"/>
          <w:divBdr>
            <w:top w:val="none" w:sz="0" w:space="0" w:color="auto"/>
            <w:left w:val="none" w:sz="0" w:space="0" w:color="auto"/>
            <w:bottom w:val="none" w:sz="0" w:space="0" w:color="auto"/>
            <w:right w:val="none" w:sz="0" w:space="0" w:color="auto"/>
          </w:divBdr>
        </w:div>
        <w:div w:id="1902323568">
          <w:marLeft w:val="0"/>
          <w:marRight w:val="0"/>
          <w:marTop w:val="0"/>
          <w:marBottom w:val="150"/>
          <w:divBdr>
            <w:top w:val="none" w:sz="0" w:space="0" w:color="auto"/>
            <w:left w:val="none" w:sz="0" w:space="0" w:color="auto"/>
            <w:bottom w:val="none" w:sz="0" w:space="0" w:color="auto"/>
            <w:right w:val="none" w:sz="0" w:space="0" w:color="auto"/>
          </w:divBdr>
        </w:div>
        <w:div w:id="1915430710">
          <w:marLeft w:val="0"/>
          <w:marRight w:val="0"/>
          <w:marTop w:val="0"/>
          <w:marBottom w:val="150"/>
          <w:divBdr>
            <w:top w:val="none" w:sz="0" w:space="0" w:color="auto"/>
            <w:left w:val="none" w:sz="0" w:space="0" w:color="auto"/>
            <w:bottom w:val="none" w:sz="0" w:space="0" w:color="auto"/>
            <w:right w:val="none" w:sz="0" w:space="0" w:color="auto"/>
          </w:divBdr>
        </w:div>
        <w:div w:id="1312903503">
          <w:marLeft w:val="0"/>
          <w:marRight w:val="0"/>
          <w:marTop w:val="0"/>
          <w:marBottom w:val="150"/>
          <w:divBdr>
            <w:top w:val="none" w:sz="0" w:space="0" w:color="auto"/>
            <w:left w:val="none" w:sz="0" w:space="0" w:color="auto"/>
            <w:bottom w:val="none" w:sz="0" w:space="0" w:color="auto"/>
            <w:right w:val="none" w:sz="0" w:space="0" w:color="auto"/>
          </w:divBdr>
        </w:div>
        <w:div w:id="749278644">
          <w:marLeft w:val="0"/>
          <w:marRight w:val="0"/>
          <w:marTop w:val="150"/>
          <w:marBottom w:val="150"/>
          <w:divBdr>
            <w:top w:val="none" w:sz="0" w:space="0" w:color="auto"/>
            <w:left w:val="none" w:sz="0" w:space="0" w:color="auto"/>
            <w:bottom w:val="none" w:sz="0" w:space="0" w:color="auto"/>
            <w:right w:val="none" w:sz="0" w:space="0" w:color="auto"/>
          </w:divBdr>
        </w:div>
        <w:div w:id="626933192">
          <w:marLeft w:val="0"/>
          <w:marRight w:val="0"/>
          <w:marTop w:val="0"/>
          <w:marBottom w:val="150"/>
          <w:divBdr>
            <w:top w:val="none" w:sz="0" w:space="0" w:color="auto"/>
            <w:left w:val="none" w:sz="0" w:space="0" w:color="auto"/>
            <w:bottom w:val="none" w:sz="0" w:space="0" w:color="auto"/>
            <w:right w:val="none" w:sz="0" w:space="0" w:color="auto"/>
          </w:divBdr>
        </w:div>
        <w:div w:id="1982078848">
          <w:marLeft w:val="0"/>
          <w:marRight w:val="0"/>
          <w:marTop w:val="0"/>
          <w:marBottom w:val="150"/>
          <w:divBdr>
            <w:top w:val="none" w:sz="0" w:space="0" w:color="auto"/>
            <w:left w:val="none" w:sz="0" w:space="0" w:color="auto"/>
            <w:bottom w:val="none" w:sz="0" w:space="0" w:color="auto"/>
            <w:right w:val="none" w:sz="0" w:space="0" w:color="auto"/>
          </w:divBdr>
        </w:div>
        <w:div w:id="513809657">
          <w:marLeft w:val="0"/>
          <w:marRight w:val="0"/>
          <w:marTop w:val="0"/>
          <w:marBottom w:val="150"/>
          <w:divBdr>
            <w:top w:val="none" w:sz="0" w:space="0" w:color="auto"/>
            <w:left w:val="none" w:sz="0" w:space="0" w:color="auto"/>
            <w:bottom w:val="none" w:sz="0" w:space="0" w:color="auto"/>
            <w:right w:val="none" w:sz="0" w:space="0" w:color="auto"/>
          </w:divBdr>
        </w:div>
        <w:div w:id="1256552995">
          <w:marLeft w:val="0"/>
          <w:marRight w:val="0"/>
          <w:marTop w:val="0"/>
          <w:marBottom w:val="150"/>
          <w:divBdr>
            <w:top w:val="none" w:sz="0" w:space="0" w:color="auto"/>
            <w:left w:val="none" w:sz="0" w:space="0" w:color="auto"/>
            <w:bottom w:val="none" w:sz="0" w:space="0" w:color="auto"/>
            <w:right w:val="none" w:sz="0" w:space="0" w:color="auto"/>
          </w:divBdr>
        </w:div>
        <w:div w:id="871577460">
          <w:marLeft w:val="0"/>
          <w:marRight w:val="0"/>
          <w:marTop w:val="0"/>
          <w:marBottom w:val="150"/>
          <w:divBdr>
            <w:top w:val="none" w:sz="0" w:space="0" w:color="auto"/>
            <w:left w:val="none" w:sz="0" w:space="0" w:color="auto"/>
            <w:bottom w:val="none" w:sz="0" w:space="0" w:color="auto"/>
            <w:right w:val="none" w:sz="0" w:space="0" w:color="auto"/>
          </w:divBdr>
        </w:div>
        <w:div w:id="13881839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jpeg"/><Relationship Id="rId21" Type="http://schemas.openxmlformats.org/officeDocument/2006/relationships/hyperlink" Target="https://zakon.rada.gov.ua/laws/show/v0352874-22" TargetMode="External"/><Relationship Id="rId42" Type="http://schemas.openxmlformats.org/officeDocument/2006/relationships/hyperlink" Target="https://zakon.rada.gov.ua/laws/show/v1700874-21" TargetMode="External"/><Relationship Id="rId47" Type="http://schemas.openxmlformats.org/officeDocument/2006/relationships/hyperlink" Target="https://zakon.rada.gov.ua/laws/show/v1700874-21" TargetMode="External"/><Relationship Id="rId63" Type="http://schemas.openxmlformats.org/officeDocument/2006/relationships/hyperlink" Target="https://zakon.rada.gov.ua/laws/show/v1965874-18/print" TargetMode="External"/><Relationship Id="rId68" Type="http://schemas.openxmlformats.org/officeDocument/2006/relationships/hyperlink" Target="https://zakon.rada.gov.ua/laws/show/v1965874-18/print" TargetMode="External"/><Relationship Id="rId84" Type="http://schemas.openxmlformats.org/officeDocument/2006/relationships/hyperlink" Target="https://zakon.rada.gov.ua/laws/show/v1700874-21" TargetMode="External"/><Relationship Id="rId89" Type="http://schemas.openxmlformats.org/officeDocument/2006/relationships/hyperlink" Target="https://zakon.rada.gov.ua/laws/show/v1965874-18/print" TargetMode="External"/><Relationship Id="rId112" Type="http://schemas.openxmlformats.org/officeDocument/2006/relationships/hyperlink" Target="https://zakon.rada.gov.ua/laws/show/v1965874-18/print" TargetMode="External"/><Relationship Id="rId16" Type="http://schemas.openxmlformats.org/officeDocument/2006/relationships/hyperlink" Target="https://zakon.rada.gov.ua/laws/show/v2161874-20" TargetMode="External"/><Relationship Id="rId107" Type="http://schemas.openxmlformats.org/officeDocument/2006/relationships/hyperlink" Target="https://zakon.rada.gov.ua/laws/show/v1965874-18/print" TargetMode="External"/><Relationship Id="rId11" Type="http://schemas.openxmlformats.org/officeDocument/2006/relationships/hyperlink" Target="https://zakon.rada.gov.ua/laws/show/2019-19" TargetMode="External"/><Relationship Id="rId32" Type="http://schemas.openxmlformats.org/officeDocument/2006/relationships/hyperlink" Target="https://zakon.rada.gov.ua/laws/show/v1965874-18/print" TargetMode="External"/><Relationship Id="rId37" Type="http://schemas.openxmlformats.org/officeDocument/2006/relationships/hyperlink" Target="https://zakon.rada.gov.ua/laws/show/v0293858-13" TargetMode="External"/><Relationship Id="rId53" Type="http://schemas.openxmlformats.org/officeDocument/2006/relationships/hyperlink" Target="https://zakon.rada.gov.ua/laws/show/v1700874-21" TargetMode="External"/><Relationship Id="rId58" Type="http://schemas.openxmlformats.org/officeDocument/2006/relationships/hyperlink" Target="https://zakon.rada.gov.ua/laws/show/v1965874-18/print" TargetMode="External"/><Relationship Id="rId74" Type="http://schemas.openxmlformats.org/officeDocument/2006/relationships/hyperlink" Target="https://zakon.rada.gov.ua/laws/show/v1700874-21" TargetMode="External"/><Relationship Id="rId79" Type="http://schemas.openxmlformats.org/officeDocument/2006/relationships/hyperlink" Target="https://zakon.rada.gov.ua/laws/show/v0310874-18" TargetMode="External"/><Relationship Id="rId102" Type="http://schemas.openxmlformats.org/officeDocument/2006/relationships/hyperlink" Target="https://zakon.rada.gov.ua/laws/show/v1965874-18/print" TargetMode="External"/><Relationship Id="rId123" Type="http://schemas.openxmlformats.org/officeDocument/2006/relationships/hyperlink" Target="https://zakon.rada.gov.ua/laws/show/v1700874-21" TargetMode="External"/><Relationship Id="rId128" Type="http://schemas.openxmlformats.org/officeDocument/2006/relationships/hyperlink" Target="https://zakon.rada.gov.ua/laws/show/v2161874-20" TargetMode="External"/><Relationship Id="rId5" Type="http://schemas.openxmlformats.org/officeDocument/2006/relationships/hyperlink" Target="https://zakon.rada.gov.ua/laws/show/v2161874-20" TargetMode="External"/><Relationship Id="rId90" Type="http://schemas.openxmlformats.org/officeDocument/2006/relationships/hyperlink" Target="https://zakon.rada.gov.ua/laws/show/v1700874-21" TargetMode="External"/><Relationship Id="rId95" Type="http://schemas.openxmlformats.org/officeDocument/2006/relationships/hyperlink" Target="https://zakon.rada.gov.ua/laws/show/v1965874-18/print" TargetMode="External"/><Relationship Id="rId22" Type="http://schemas.openxmlformats.org/officeDocument/2006/relationships/hyperlink" Target="https://zakon.rada.gov.ua/laws/show/v0407874-22" TargetMode="External"/><Relationship Id="rId27" Type="http://schemas.openxmlformats.org/officeDocument/2006/relationships/hyperlink" Target="https://zakon.rada.gov.ua/laws/show/v0310874-18" TargetMode="External"/><Relationship Id="rId43" Type="http://schemas.openxmlformats.org/officeDocument/2006/relationships/hyperlink" Target="https://zakon.rada.gov.ua/laws/show/v1965874-18/print" TargetMode="External"/><Relationship Id="rId48" Type="http://schemas.openxmlformats.org/officeDocument/2006/relationships/hyperlink" Target="https://zakon.rada.gov.ua/laws/show/v1965874-18/print" TargetMode="External"/><Relationship Id="rId64" Type="http://schemas.openxmlformats.org/officeDocument/2006/relationships/hyperlink" Target="https://zakon.rada.gov.ua/laws/show/v1700874-21" TargetMode="External"/><Relationship Id="rId69" Type="http://schemas.openxmlformats.org/officeDocument/2006/relationships/hyperlink" Target="https://zakon.rada.gov.ua/laws/show/v1965874-18/print" TargetMode="External"/><Relationship Id="rId113" Type="http://schemas.openxmlformats.org/officeDocument/2006/relationships/hyperlink" Target="https://zakon.rada.gov.ua/laws/show/v1700874-21" TargetMode="External"/><Relationship Id="rId118" Type="http://schemas.openxmlformats.org/officeDocument/2006/relationships/image" Target="media/image3.jpeg"/><Relationship Id="rId80" Type="http://schemas.openxmlformats.org/officeDocument/2006/relationships/hyperlink" Target="https://zakon.rada.gov.ua/laws/show/v1965874-18/print" TargetMode="External"/><Relationship Id="rId85" Type="http://schemas.openxmlformats.org/officeDocument/2006/relationships/hyperlink" Target="https://zakon.rada.gov.ua/laws/show/v1965874-18/print" TargetMode="External"/><Relationship Id="rId12" Type="http://schemas.openxmlformats.org/officeDocument/2006/relationships/hyperlink" Target="https://zakon.rada.gov.ua/laws/show/1540-19" TargetMode="External"/><Relationship Id="rId17" Type="http://schemas.openxmlformats.org/officeDocument/2006/relationships/hyperlink" Target="https://zakon.rada.gov.ua/laws/show/v1407874-22" TargetMode="External"/><Relationship Id="rId33" Type="http://schemas.openxmlformats.org/officeDocument/2006/relationships/hyperlink" Target="https://zakon.rada.gov.ua/laws/show/v1700874-21" TargetMode="External"/><Relationship Id="rId38" Type="http://schemas.openxmlformats.org/officeDocument/2006/relationships/hyperlink" Target="https://zakon.rada.gov.ua/laws/show/z1469-16" TargetMode="External"/><Relationship Id="rId59" Type="http://schemas.openxmlformats.org/officeDocument/2006/relationships/hyperlink" Target="https://zakon.rada.gov.ua/laws/show/v1965874-18/print" TargetMode="External"/><Relationship Id="rId103" Type="http://schemas.openxmlformats.org/officeDocument/2006/relationships/hyperlink" Target="https://zakon.rada.gov.ua/laws/show/v1700874-21" TargetMode="External"/><Relationship Id="rId108" Type="http://schemas.openxmlformats.org/officeDocument/2006/relationships/hyperlink" Target="https://zakon.rada.gov.ua/laws/show/v0101732-11" TargetMode="External"/><Relationship Id="rId124" Type="http://schemas.openxmlformats.org/officeDocument/2006/relationships/hyperlink" Target="https://zakon.rada.gov.ua/laws/show/v2161874-20" TargetMode="External"/><Relationship Id="rId129" Type="http://schemas.openxmlformats.org/officeDocument/2006/relationships/hyperlink" Target="https://zakon.rada.gov.ua/laws/show/v2161874-20" TargetMode="External"/><Relationship Id="rId54" Type="http://schemas.openxmlformats.org/officeDocument/2006/relationships/hyperlink" Target="https://zakon.rada.gov.ua/laws/show/v1965874-18/print" TargetMode="External"/><Relationship Id="rId70" Type="http://schemas.openxmlformats.org/officeDocument/2006/relationships/hyperlink" Target="https://zakon.rada.gov.ua/laws/show/v1700874-21" TargetMode="External"/><Relationship Id="rId75" Type="http://schemas.openxmlformats.org/officeDocument/2006/relationships/hyperlink" Target="https://zakon.rada.gov.ua/laws/show/v1700874-21" TargetMode="External"/><Relationship Id="rId91" Type="http://schemas.openxmlformats.org/officeDocument/2006/relationships/hyperlink" Target="https://zakon.rada.gov.ua/laws/show/v1965874-18/print" TargetMode="External"/><Relationship Id="rId96" Type="http://schemas.openxmlformats.org/officeDocument/2006/relationships/hyperlink" Target="https://zakon.rada.gov.ua/laws/show/v1700874-21" TargetMode="External"/><Relationship Id="rId1" Type="http://schemas.openxmlformats.org/officeDocument/2006/relationships/styles" Target="styles.xml"/><Relationship Id="rId6" Type="http://schemas.openxmlformats.org/officeDocument/2006/relationships/hyperlink" Target="https://zakon.rada.gov.ua/laws/show/v1700874-21" TargetMode="External"/><Relationship Id="rId23" Type="http://schemas.openxmlformats.org/officeDocument/2006/relationships/hyperlink" Target="https://zakon.rada.gov.ua/laws/show/v1138874-22" TargetMode="External"/><Relationship Id="rId28" Type="http://schemas.openxmlformats.org/officeDocument/2006/relationships/hyperlink" Target="https://zakon.rada.gov.ua/laws/show/v1700874-21" TargetMode="External"/><Relationship Id="rId49" Type="http://schemas.openxmlformats.org/officeDocument/2006/relationships/hyperlink" Target="https://zakon.rada.gov.ua/laws/show/v1700874-21" TargetMode="External"/><Relationship Id="rId114" Type="http://schemas.openxmlformats.org/officeDocument/2006/relationships/hyperlink" Target="https://zakon.rada.gov.ua/laws/show/v1965874-18/print" TargetMode="External"/><Relationship Id="rId119" Type="http://schemas.openxmlformats.org/officeDocument/2006/relationships/hyperlink" Target="https://zakon.rada.gov.ua/laws/show/v1407874-22" TargetMode="External"/><Relationship Id="rId44" Type="http://schemas.openxmlformats.org/officeDocument/2006/relationships/hyperlink" Target="https://zakon.rada.gov.ua/laws/show/v1965874-18/print" TargetMode="External"/><Relationship Id="rId60" Type="http://schemas.openxmlformats.org/officeDocument/2006/relationships/hyperlink" Target="https://zakon.rada.gov.ua/laws/show/v1700874-21" TargetMode="External"/><Relationship Id="rId65" Type="http://schemas.openxmlformats.org/officeDocument/2006/relationships/hyperlink" Target="https://zakon.rada.gov.ua/laws/show/v1965874-18/print" TargetMode="External"/><Relationship Id="rId81" Type="http://schemas.openxmlformats.org/officeDocument/2006/relationships/hyperlink" Target="https://zakon.rada.gov.ua/laws/show/v1965874-18/print" TargetMode="External"/><Relationship Id="rId86" Type="http://schemas.openxmlformats.org/officeDocument/2006/relationships/hyperlink" Target="https://zakon.rada.gov.ua/laws/show/v1700874-21" TargetMode="External"/><Relationship Id="rId130" Type="http://schemas.openxmlformats.org/officeDocument/2006/relationships/hyperlink" Target="https://zakon.rada.gov.ua/laws/show/v2161874-20" TargetMode="External"/><Relationship Id="rId13" Type="http://schemas.openxmlformats.org/officeDocument/2006/relationships/hyperlink" Target="https://zakon.rada.gov.ua/laws/show/v1965874-18/print" TargetMode="External"/><Relationship Id="rId18" Type="http://schemas.openxmlformats.org/officeDocument/2006/relationships/hyperlink" Target="https://zakon.rada.gov.ua/laws/show/v2161874-20" TargetMode="External"/><Relationship Id="rId39" Type="http://schemas.openxmlformats.org/officeDocument/2006/relationships/hyperlink" Target="https://zakon.rada.gov.ua/laws/show/v1700874-21" TargetMode="External"/><Relationship Id="rId109" Type="http://schemas.openxmlformats.org/officeDocument/2006/relationships/hyperlink" Target="https://zakon.rada.gov.ua/laws/show/v1965874-18/print" TargetMode="External"/><Relationship Id="rId34" Type="http://schemas.openxmlformats.org/officeDocument/2006/relationships/hyperlink" Target="https://zakon.rada.gov.ua/laws/show/v1965874-18/print" TargetMode="External"/><Relationship Id="rId50" Type="http://schemas.openxmlformats.org/officeDocument/2006/relationships/hyperlink" Target="https://zakon.rada.gov.ua/laws/show/v1965874-18/print" TargetMode="External"/><Relationship Id="rId55" Type="http://schemas.openxmlformats.org/officeDocument/2006/relationships/hyperlink" Target="https://zakon.rada.gov.ua/laws/show/v1965874-18/print" TargetMode="External"/><Relationship Id="rId76" Type="http://schemas.openxmlformats.org/officeDocument/2006/relationships/hyperlink" Target="https://zakon.rada.gov.ua/laws/show/v1965874-18/print" TargetMode="External"/><Relationship Id="rId97" Type="http://schemas.openxmlformats.org/officeDocument/2006/relationships/hyperlink" Target="https://zakon.rada.gov.ua/laws/show/v1965874-18/print" TargetMode="External"/><Relationship Id="rId104" Type="http://schemas.openxmlformats.org/officeDocument/2006/relationships/hyperlink" Target="https://zakon.rada.gov.ua/laws/show/v1700874-21" TargetMode="External"/><Relationship Id="rId120" Type="http://schemas.openxmlformats.org/officeDocument/2006/relationships/hyperlink" Target="https://zakon.rada.gov.ua/laws/show/v0309874-18" TargetMode="External"/><Relationship Id="rId125" Type="http://schemas.openxmlformats.org/officeDocument/2006/relationships/hyperlink" Target="https://zakon.rada.gov.ua/laws/show/v2161874-20" TargetMode="External"/><Relationship Id="rId7" Type="http://schemas.openxmlformats.org/officeDocument/2006/relationships/hyperlink" Target="https://zakon.rada.gov.ua/laws/show/v0352874-22" TargetMode="External"/><Relationship Id="rId71" Type="http://schemas.openxmlformats.org/officeDocument/2006/relationships/hyperlink" Target="https://zakon.rada.gov.ua/laws/show/v1700874-21" TargetMode="External"/><Relationship Id="rId92" Type="http://schemas.openxmlformats.org/officeDocument/2006/relationships/hyperlink" Target="https://zakon.rada.gov.ua/laws/show/v1700874-21" TargetMode="External"/><Relationship Id="rId2" Type="http://schemas.openxmlformats.org/officeDocument/2006/relationships/settings" Target="settings.xml"/><Relationship Id="rId29" Type="http://schemas.openxmlformats.org/officeDocument/2006/relationships/hyperlink" Target="https://zakon.rada.gov.ua/laws/show/v1965874-18/print" TargetMode="External"/><Relationship Id="rId24" Type="http://schemas.openxmlformats.org/officeDocument/2006/relationships/hyperlink" Target="https://zakon.rada.gov.ua/laws/show/v1700874-21" TargetMode="External"/><Relationship Id="rId40" Type="http://schemas.openxmlformats.org/officeDocument/2006/relationships/hyperlink" Target="https://zakon.rada.gov.ua/laws/show/v1965874-18/print" TargetMode="External"/><Relationship Id="rId45" Type="http://schemas.openxmlformats.org/officeDocument/2006/relationships/hyperlink" Target="https://zakon.rada.gov.ua/laws/show/v1700874-21" TargetMode="External"/><Relationship Id="rId66" Type="http://schemas.openxmlformats.org/officeDocument/2006/relationships/hyperlink" Target="https://zakon.rada.gov.ua/laws/show/v1700874-21" TargetMode="External"/><Relationship Id="rId87" Type="http://schemas.openxmlformats.org/officeDocument/2006/relationships/hyperlink" Target="https://zakon.rada.gov.ua/laws/show/v1965874-18/print" TargetMode="External"/><Relationship Id="rId110" Type="http://schemas.openxmlformats.org/officeDocument/2006/relationships/hyperlink" Target="https://zakon.rada.gov.ua/laws/show/v1700874-21" TargetMode="External"/><Relationship Id="rId115" Type="http://schemas.openxmlformats.org/officeDocument/2006/relationships/hyperlink" Target="https://zakon.rada.gov.ua/laws/show/v1700874-21" TargetMode="External"/><Relationship Id="rId131" Type="http://schemas.openxmlformats.org/officeDocument/2006/relationships/fontTable" Target="fontTable.xml"/><Relationship Id="rId61" Type="http://schemas.openxmlformats.org/officeDocument/2006/relationships/hyperlink" Target="https://zakon.rada.gov.ua/laws/show/v1965874-18/print" TargetMode="External"/><Relationship Id="rId82" Type="http://schemas.openxmlformats.org/officeDocument/2006/relationships/hyperlink" Target="https://zakon.rada.gov.ua/laws/show/v1965874-18/print" TargetMode="External"/><Relationship Id="rId19" Type="http://schemas.openxmlformats.org/officeDocument/2006/relationships/hyperlink" Target="https://zakon.rada.gov.ua/laws/show/v1965874-18/print" TargetMode="External"/><Relationship Id="rId14" Type="http://schemas.openxmlformats.org/officeDocument/2006/relationships/hyperlink" Target="https://zakon.rada.gov.ua/laws/show/z0339-13" TargetMode="External"/><Relationship Id="rId30" Type="http://schemas.openxmlformats.org/officeDocument/2006/relationships/hyperlink" Target="https://zakon.rada.gov.ua/laws/show/v1965874-18/print" TargetMode="External"/><Relationship Id="rId35" Type="http://schemas.openxmlformats.org/officeDocument/2006/relationships/hyperlink" Target="https://zakon.rada.gov.ua/laws/show/v1965874-18/print" TargetMode="External"/><Relationship Id="rId56" Type="http://schemas.openxmlformats.org/officeDocument/2006/relationships/hyperlink" Target="https://zakon.rada.gov.ua/laws/show/v1700874-21" TargetMode="External"/><Relationship Id="rId77" Type="http://schemas.openxmlformats.org/officeDocument/2006/relationships/hyperlink" Target="https://zakon.rada.gov.ua/laws/show/v1965874-18/print" TargetMode="External"/><Relationship Id="rId100" Type="http://schemas.openxmlformats.org/officeDocument/2006/relationships/hyperlink" Target="https://zakon.rada.gov.ua/laws/show/v1965874-18/print" TargetMode="External"/><Relationship Id="rId105" Type="http://schemas.openxmlformats.org/officeDocument/2006/relationships/hyperlink" Target="https://zakon.rada.gov.ua/laws/show/v1700874-21" TargetMode="External"/><Relationship Id="rId126" Type="http://schemas.openxmlformats.org/officeDocument/2006/relationships/hyperlink" Target="https://zakon.rada.gov.ua/laws/show/v2161874-20" TargetMode="External"/><Relationship Id="rId8" Type="http://schemas.openxmlformats.org/officeDocument/2006/relationships/hyperlink" Target="https://zakon.rada.gov.ua/laws/show/v0407874-22" TargetMode="External"/><Relationship Id="rId51" Type="http://schemas.openxmlformats.org/officeDocument/2006/relationships/hyperlink" Target="https://zakon.rada.gov.ua/laws/show/v1700874-21" TargetMode="External"/><Relationship Id="rId72" Type="http://schemas.openxmlformats.org/officeDocument/2006/relationships/hyperlink" Target="https://zakon.rada.gov.ua/laws/show/v1965874-18/print" TargetMode="External"/><Relationship Id="rId93" Type="http://schemas.openxmlformats.org/officeDocument/2006/relationships/hyperlink" Target="https://zakon.rada.gov.ua/laws/show/v1965874-18/print" TargetMode="External"/><Relationship Id="rId98" Type="http://schemas.openxmlformats.org/officeDocument/2006/relationships/hyperlink" Target="https://zakon.rada.gov.ua/laws/show/v1965874-18/print" TargetMode="External"/><Relationship Id="rId121" Type="http://schemas.openxmlformats.org/officeDocument/2006/relationships/hyperlink" Target="https://zakon.rada.gov.ua/laws/show/v2161874-20" TargetMode="External"/><Relationship Id="rId3" Type="http://schemas.openxmlformats.org/officeDocument/2006/relationships/webSettings" Target="webSettings.xml"/><Relationship Id="rId25" Type="http://schemas.openxmlformats.org/officeDocument/2006/relationships/hyperlink" Target="https://zakon.rada.gov.ua/laws/show/2019-19" TargetMode="External"/><Relationship Id="rId46" Type="http://schemas.openxmlformats.org/officeDocument/2006/relationships/hyperlink" Target="https://zakon.rada.gov.ua/laws/show/v1965874-18/print" TargetMode="External"/><Relationship Id="rId67" Type="http://schemas.openxmlformats.org/officeDocument/2006/relationships/hyperlink" Target="https://zakon.rada.gov.ua/laws/show/v1700874-21" TargetMode="External"/><Relationship Id="rId116" Type="http://schemas.openxmlformats.org/officeDocument/2006/relationships/hyperlink" Target="https://zakon.rada.gov.ua/laws/show/v1700874-21" TargetMode="External"/><Relationship Id="rId20" Type="http://schemas.openxmlformats.org/officeDocument/2006/relationships/hyperlink" Target="https://zakon.rada.gov.ua/laws/show/v1965874-18/print" TargetMode="External"/><Relationship Id="rId41" Type="http://schemas.openxmlformats.org/officeDocument/2006/relationships/hyperlink" Target="https://zakon.rada.gov.ua/laws/show/v1700874-21" TargetMode="External"/><Relationship Id="rId62" Type="http://schemas.openxmlformats.org/officeDocument/2006/relationships/hyperlink" Target="https://zakon.rada.gov.ua/laws/show/v1700874-21" TargetMode="External"/><Relationship Id="rId83" Type="http://schemas.openxmlformats.org/officeDocument/2006/relationships/hyperlink" Target="https://zakon.rada.gov.ua/laws/show/v1965874-18/print" TargetMode="External"/><Relationship Id="rId88" Type="http://schemas.openxmlformats.org/officeDocument/2006/relationships/hyperlink" Target="https://zakon.rada.gov.ua/laws/show/v1700874-21" TargetMode="External"/><Relationship Id="rId111" Type="http://schemas.openxmlformats.org/officeDocument/2006/relationships/hyperlink" Target="https://zakon.rada.gov.ua/laws/show/v1700874-21" TargetMode="External"/><Relationship Id="rId132" Type="http://schemas.openxmlformats.org/officeDocument/2006/relationships/theme" Target="theme/theme1.xml"/><Relationship Id="rId15" Type="http://schemas.openxmlformats.org/officeDocument/2006/relationships/hyperlink" Target="https://zakon.rada.gov.ua/laws/show/v0101732-11" TargetMode="External"/><Relationship Id="rId36" Type="http://schemas.openxmlformats.org/officeDocument/2006/relationships/hyperlink" Target="https://zakon.rada.gov.ua/laws/show/v1965874-18/print" TargetMode="External"/><Relationship Id="rId57" Type="http://schemas.openxmlformats.org/officeDocument/2006/relationships/hyperlink" Target="https://zakon.rada.gov.ua/laws/show/v1965874-18/print" TargetMode="External"/><Relationship Id="rId106" Type="http://schemas.openxmlformats.org/officeDocument/2006/relationships/hyperlink" Target="https://zakon.rada.gov.ua/laws/show/v1700874-21" TargetMode="External"/><Relationship Id="rId127" Type="http://schemas.openxmlformats.org/officeDocument/2006/relationships/hyperlink" Target="https://zakon.rada.gov.ua/laws/show/v2161874-20" TargetMode="External"/><Relationship Id="rId10" Type="http://schemas.openxmlformats.org/officeDocument/2006/relationships/hyperlink" Target="https://zakon.rada.gov.ua/laws/show/v1407874-22" TargetMode="External"/><Relationship Id="rId31" Type="http://schemas.openxmlformats.org/officeDocument/2006/relationships/hyperlink" Target="https://zakon.rada.gov.ua/laws/show/v1965874-18/print" TargetMode="External"/><Relationship Id="rId52" Type="http://schemas.openxmlformats.org/officeDocument/2006/relationships/hyperlink" Target="https://zakon.rada.gov.ua/laws/show/v1965874-18/print" TargetMode="External"/><Relationship Id="rId73" Type="http://schemas.openxmlformats.org/officeDocument/2006/relationships/hyperlink" Target="https://zakon.rada.gov.ua/laws/show/v1965874-18/print" TargetMode="External"/><Relationship Id="rId78" Type="http://schemas.openxmlformats.org/officeDocument/2006/relationships/hyperlink" Target="https://zakon.rada.gov.ua/laws/show/v1700874-21" TargetMode="External"/><Relationship Id="rId94" Type="http://schemas.openxmlformats.org/officeDocument/2006/relationships/hyperlink" Target="https://zakon.rada.gov.ua/laws/show/v1700874-21" TargetMode="External"/><Relationship Id="rId99" Type="http://schemas.openxmlformats.org/officeDocument/2006/relationships/hyperlink" Target="https://zakon.rada.gov.ua/laws/show/v1965874-18/print" TargetMode="External"/><Relationship Id="rId101" Type="http://schemas.openxmlformats.org/officeDocument/2006/relationships/hyperlink" Target="https://zakon.rada.gov.ua/laws/show/v1700874-21" TargetMode="External"/><Relationship Id="rId122" Type="http://schemas.openxmlformats.org/officeDocument/2006/relationships/hyperlink" Target="https://zakon.rada.gov.ua/laws/show/v2161874-20" TargetMode="External"/><Relationship Id="rId4" Type="http://schemas.openxmlformats.org/officeDocument/2006/relationships/image" Target="media/image1.gif"/><Relationship Id="rId9" Type="http://schemas.openxmlformats.org/officeDocument/2006/relationships/hyperlink" Target="https://zakon.rada.gov.ua/laws/show/v1138874-22" TargetMode="External"/><Relationship Id="rId26" Type="http://schemas.openxmlformats.org/officeDocument/2006/relationships/hyperlink" Target="https://zakon.rada.gov.ua/laws/show/v030987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41049</Words>
  <Characters>23399</Characters>
  <Application>Microsoft Office Word</Application>
  <DocSecurity>0</DocSecurity>
  <Lines>194</Lines>
  <Paragraphs>128</Paragraphs>
  <ScaleCrop>false</ScaleCrop>
  <Company/>
  <LinksUpToDate>false</LinksUpToDate>
  <CharactersWithSpaces>64320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Крокодиленко Владимир Александрович</dc:creator>
  <cp:keywords/>
  <dc:description/>
  <cp:lastModifiedBy>Крокодиленко Владимир Александрович</cp:lastModifiedBy>
  <cp:revision>1</cp:revision>
  <dcterms:created xsi:type="dcterms:W3CDTF">2024-01-19T13:42:00Z</dcterms:created>
  <dcterms:modified xsi:type="dcterms:W3CDTF">2024-01-19T13:44:00Z</dcterms:modified>
</cp:coreProperties>
</file>